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57D" w14:textId="77777777" w:rsidR="00837245" w:rsidRPr="006E06F1" w:rsidRDefault="009819B2" w:rsidP="00837245">
      <w:pPr>
        <w:jc w:val="left"/>
        <w:rPr>
          <w:sz w:val="20"/>
        </w:rPr>
      </w:pPr>
      <w:bookmarkStart w:id="0" w:name="_GoBack"/>
      <w:bookmarkEnd w:id="0"/>
      <w:r>
        <w:rPr>
          <w:sz w:val="20"/>
        </w:rPr>
        <w:t xml:space="preserve">Dokument oprettet </w:t>
      </w:r>
      <w:bookmarkStart w:id="1" w:name="dato"/>
      <w:r w:rsidRPr="006E06F1">
        <w:rPr>
          <w:sz w:val="20"/>
        </w:rPr>
        <w:t>07. september 2018</w:t>
      </w:r>
      <w:bookmarkEnd w:id="1"/>
    </w:p>
    <w:p w14:paraId="266A657E" w14:textId="77777777" w:rsidR="00837245" w:rsidRPr="00DC39F3" w:rsidRDefault="009819B2" w:rsidP="00837245">
      <w:pPr>
        <w:jc w:val="left"/>
        <w:rPr>
          <w:sz w:val="20"/>
        </w:rPr>
      </w:pPr>
      <w:r w:rsidRPr="00DC39F3">
        <w:rPr>
          <w:sz w:val="20"/>
        </w:rPr>
        <w:t xml:space="preserve">Sag </w:t>
      </w:r>
      <w:bookmarkStart w:id="2" w:name="sagsnummer"/>
      <w:r w:rsidRPr="00DC39F3">
        <w:rPr>
          <w:sz w:val="20"/>
        </w:rPr>
        <w:t>27-2018-00670</w:t>
      </w:r>
      <w:bookmarkEnd w:id="2"/>
      <w:r w:rsidRPr="00DC39F3">
        <w:rPr>
          <w:sz w:val="20"/>
        </w:rPr>
        <w:t xml:space="preserve"> – Dok. </w:t>
      </w:r>
      <w:bookmarkStart w:id="3" w:name="dokumentnr"/>
      <w:r w:rsidRPr="00DC39F3">
        <w:rPr>
          <w:sz w:val="20"/>
        </w:rPr>
        <w:t>385120</w:t>
      </w:r>
      <w:bookmarkEnd w:id="3"/>
      <w:r w:rsidRPr="00DC39F3">
        <w:rPr>
          <w:sz w:val="20"/>
        </w:rPr>
        <w:t>/</w:t>
      </w:r>
      <w:bookmarkStart w:id="4" w:name="brugerinitialer"/>
      <w:r w:rsidRPr="00DC39F3">
        <w:rPr>
          <w:sz w:val="20"/>
        </w:rPr>
        <w:t>avj_dh</w:t>
      </w:r>
      <w:bookmarkEnd w:id="4"/>
    </w:p>
    <w:p w14:paraId="266A657F" w14:textId="77777777" w:rsidR="00837245" w:rsidRPr="00DC39F3" w:rsidRDefault="00837245" w:rsidP="00837245"/>
    <w:p w14:paraId="266A6580" w14:textId="77777777" w:rsidR="00837245" w:rsidRPr="00DC39F3" w:rsidRDefault="00837245" w:rsidP="00837245"/>
    <w:p w14:paraId="266A6581" w14:textId="30289204" w:rsidR="00837245" w:rsidRPr="006E06F1" w:rsidRDefault="009819B2"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Udspil ift. sammenhængsrefo</w:t>
      </w:r>
      <w:r w:rsidR="0001240B">
        <w:rPr>
          <w:rFonts w:ascii="Arial" w:hAnsi="Arial" w:cs="Arial"/>
          <w:b/>
          <w:sz w:val="36"/>
          <w:szCs w:val="36"/>
        </w:rPr>
        <w:t>r</w:t>
      </w:r>
      <w:r w:rsidRPr="006E06F1">
        <w:rPr>
          <w:rFonts w:ascii="Arial" w:hAnsi="Arial" w:cs="Arial"/>
          <w:b/>
          <w:sz w:val="36"/>
          <w:szCs w:val="36"/>
        </w:rPr>
        <w:t>men</w:t>
      </w:r>
      <w:bookmarkEnd w:id="5"/>
    </w:p>
    <w:p w14:paraId="266A6582" w14:textId="77777777" w:rsidR="00837245" w:rsidRPr="0091390D" w:rsidRDefault="00837245" w:rsidP="00837245"/>
    <w:p w14:paraId="41963B83" w14:textId="0BB86A0A" w:rsidR="00D86796" w:rsidRPr="00D86796" w:rsidRDefault="00D86796" w:rsidP="00D86796">
      <w:pPr>
        <w:jc w:val="left"/>
      </w:pPr>
      <w:r>
        <w:t>Den 4. september offentliggjorde regeringen en række initiativer som del af deres sammenhængsreform. Reformen indeholder seks nedenstående spor.</w:t>
      </w:r>
    </w:p>
    <w:p w14:paraId="266A6583" w14:textId="0D063119" w:rsidR="00D86796" w:rsidRPr="00D86796" w:rsidRDefault="00D86796" w:rsidP="00D86796">
      <w:pPr>
        <w:jc w:val="left"/>
        <w:rPr>
          <w:color w:val="333333"/>
        </w:rPr>
      </w:pPr>
      <w:r w:rsidRPr="00D86796">
        <w:rPr>
          <w:color w:val="333333"/>
        </w:rPr>
        <w:t xml:space="preserve"> </w:t>
      </w:r>
    </w:p>
    <w:p w14:paraId="266A6584" w14:textId="47C2C970" w:rsidR="0090614E" w:rsidRDefault="00D86796" w:rsidP="00D86796">
      <w:pPr>
        <w:jc w:val="left"/>
      </w:pPr>
      <w:r w:rsidRPr="00D86796">
        <w:rPr>
          <w:color w:val="333333"/>
        </w:rPr>
        <w:t xml:space="preserve">1. </w:t>
      </w:r>
      <w:r w:rsidRPr="00D86796">
        <w:t>Færre regler og mindre bureaukrati i den offentlige sektor</w:t>
      </w:r>
      <w:r w:rsidRPr="00D86796">
        <w:br/>
        <w:t>2. Digital service i verdensklasse</w:t>
      </w:r>
      <w:r w:rsidRPr="00D86796">
        <w:br/>
        <w:t>3. Bedre hjælp til borgere og familier med komplekse problemer</w:t>
      </w:r>
      <w:r w:rsidRPr="00D86796">
        <w:br/>
        <w:t>4. Bedre ledelse og rette kompetencer</w:t>
      </w:r>
      <w:r w:rsidRPr="00D86796">
        <w:br/>
        <w:t>5. Et mere sammenhængende sundhedsvæsen</w:t>
      </w:r>
      <w:r w:rsidRPr="00D86796">
        <w:br/>
        <w:t>6. Bedre sammenhæng i vejen til uddannelse og job</w:t>
      </w:r>
    </w:p>
    <w:p w14:paraId="16B6AAE7" w14:textId="78C711E4" w:rsidR="00D86796" w:rsidRDefault="00D86796" w:rsidP="00D86796">
      <w:pPr>
        <w:jc w:val="left"/>
      </w:pPr>
    </w:p>
    <w:p w14:paraId="08065DF4" w14:textId="1ACE835B" w:rsidR="006344E6" w:rsidRDefault="00D86796" w:rsidP="006344E6">
      <w:pPr>
        <w:jc w:val="left"/>
      </w:pPr>
      <w:r>
        <w:t>En række initiativer har betydning for handicapområdet</w:t>
      </w:r>
      <w:r w:rsidR="009819B2">
        <w:t xml:space="preserve"> og er kommenteret i notatet</w:t>
      </w:r>
      <w:r>
        <w:t xml:space="preserve">: </w:t>
      </w:r>
      <w:bookmarkStart w:id="6" w:name="_Toc524092729"/>
    </w:p>
    <w:p w14:paraId="7F920CB3" w14:textId="77777777" w:rsidR="0018568B" w:rsidRDefault="0018568B" w:rsidP="006344E6">
      <w:pPr>
        <w:jc w:val="left"/>
      </w:pPr>
    </w:p>
    <w:p w14:paraId="56279311" w14:textId="30E9845A" w:rsidR="00C674D4" w:rsidRPr="00C674D4" w:rsidRDefault="009819B2">
      <w:pPr>
        <w:pStyle w:val="Indholdsfortegnelse2"/>
        <w:tabs>
          <w:tab w:val="right" w:leader="underscore" w:pos="9521"/>
        </w:tabs>
        <w:rPr>
          <w:rFonts w:ascii="Times New Roman" w:eastAsiaTheme="minorEastAsia" w:hAnsi="Times New Roman" w:cs="Times New Roman"/>
          <w:b w:val="0"/>
          <w:bCs w:val="0"/>
          <w:noProof/>
          <w:sz w:val="26"/>
          <w:szCs w:val="26"/>
        </w:rPr>
      </w:pPr>
      <w:r w:rsidRPr="00C674D4">
        <w:rPr>
          <w:rFonts w:ascii="Times New Roman" w:hAnsi="Times New Roman" w:cs="Times New Roman"/>
          <w:sz w:val="26"/>
          <w:szCs w:val="26"/>
        </w:rPr>
        <w:fldChar w:fldCharType="begin"/>
      </w:r>
      <w:r w:rsidRPr="00C674D4">
        <w:rPr>
          <w:rFonts w:ascii="Times New Roman" w:hAnsi="Times New Roman" w:cs="Times New Roman"/>
          <w:sz w:val="26"/>
          <w:szCs w:val="26"/>
        </w:rPr>
        <w:instrText xml:space="preserve"> TOC \o "1-3" \n \h \z \u </w:instrText>
      </w:r>
      <w:r w:rsidRPr="00C674D4">
        <w:rPr>
          <w:rFonts w:ascii="Times New Roman" w:hAnsi="Times New Roman" w:cs="Times New Roman"/>
          <w:sz w:val="26"/>
          <w:szCs w:val="26"/>
        </w:rPr>
        <w:fldChar w:fldCharType="separate"/>
      </w:r>
      <w:hyperlink w:anchor="_Toc524513533" w:history="1">
        <w:r w:rsidR="00C674D4" w:rsidRPr="00C674D4">
          <w:rPr>
            <w:rStyle w:val="Hyperlink"/>
            <w:rFonts w:ascii="Times New Roman" w:hAnsi="Times New Roman" w:cs="Times New Roman"/>
            <w:noProof/>
            <w:sz w:val="26"/>
            <w:szCs w:val="26"/>
          </w:rPr>
          <w:t>Sundhed</w:t>
        </w:r>
      </w:hyperlink>
    </w:p>
    <w:p w14:paraId="4741D568" w14:textId="247FEFBF"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4" w:history="1">
        <w:r w:rsidR="00C674D4" w:rsidRPr="00C674D4">
          <w:rPr>
            <w:rStyle w:val="Hyperlink"/>
            <w:rFonts w:ascii="Times New Roman" w:hAnsi="Times New Roman" w:cs="Times New Roman"/>
            <w:noProof/>
            <w:sz w:val="26"/>
            <w:szCs w:val="26"/>
          </w:rPr>
          <w:t>Sundhedsreform på vej</w:t>
        </w:r>
      </w:hyperlink>
    </w:p>
    <w:p w14:paraId="43A4D5A4" w14:textId="0D2A8872"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5" w:history="1">
        <w:r w:rsidR="00C674D4" w:rsidRPr="00C674D4">
          <w:rPr>
            <w:rStyle w:val="Hyperlink"/>
            <w:rFonts w:ascii="Times New Roman" w:hAnsi="Times New Roman" w:cs="Times New Roman"/>
            <w:noProof/>
            <w:sz w:val="26"/>
            <w:szCs w:val="26"/>
          </w:rPr>
          <w:t>Revision af reglerne om journalføring på sundhedsområdet</w:t>
        </w:r>
      </w:hyperlink>
    </w:p>
    <w:p w14:paraId="25A4CCC5" w14:textId="15BF8987"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6" w:history="1">
        <w:r w:rsidR="00C674D4" w:rsidRPr="00C674D4">
          <w:rPr>
            <w:rStyle w:val="Hyperlink"/>
            <w:rFonts w:ascii="Times New Roman" w:hAnsi="Times New Roman" w:cs="Times New Roman"/>
            <w:noProof/>
            <w:sz w:val="26"/>
            <w:szCs w:val="26"/>
          </w:rPr>
          <w:t>Aflastning af de alment praktiserende læger</w:t>
        </w:r>
      </w:hyperlink>
    </w:p>
    <w:p w14:paraId="3E507363" w14:textId="0EEC84B8"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7" w:history="1">
        <w:r w:rsidR="00C674D4" w:rsidRPr="00C674D4">
          <w:rPr>
            <w:rStyle w:val="Hyperlink"/>
            <w:rFonts w:ascii="Times New Roman" w:hAnsi="Times New Roman" w:cs="Times New Roman"/>
            <w:noProof/>
            <w:sz w:val="26"/>
            <w:szCs w:val="26"/>
          </w:rPr>
          <w:t>Lempelse af samtykkereglerne</w:t>
        </w:r>
      </w:hyperlink>
    </w:p>
    <w:p w14:paraId="2F67844B" w14:textId="47488ACD"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8" w:history="1">
        <w:r w:rsidR="00C674D4" w:rsidRPr="00C674D4">
          <w:rPr>
            <w:rStyle w:val="Hyperlink"/>
            <w:rFonts w:ascii="Times New Roman" w:hAnsi="Times New Roman" w:cs="Times New Roman"/>
            <w:noProof/>
            <w:sz w:val="26"/>
            <w:szCs w:val="26"/>
          </w:rPr>
          <w:t>Afbureaukratisering af reglerne på høreapparatområdet</w:t>
        </w:r>
      </w:hyperlink>
    </w:p>
    <w:p w14:paraId="314AF73B" w14:textId="6E94658A"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39" w:history="1">
        <w:r w:rsidR="00C674D4" w:rsidRPr="00C674D4">
          <w:rPr>
            <w:rStyle w:val="Hyperlink"/>
            <w:rFonts w:ascii="Times New Roman" w:hAnsi="Times New Roman" w:cs="Times New Roman"/>
            <w:noProof/>
            <w:sz w:val="26"/>
            <w:szCs w:val="26"/>
          </w:rPr>
          <w:t>Sammenlægning af tandplejeordninger</w:t>
        </w:r>
      </w:hyperlink>
    </w:p>
    <w:p w14:paraId="23FB5EF0" w14:textId="326C35EC"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0" w:history="1">
        <w:r w:rsidR="00C674D4" w:rsidRPr="00C674D4">
          <w:rPr>
            <w:rStyle w:val="Hyperlink"/>
            <w:rFonts w:ascii="Times New Roman" w:hAnsi="Times New Roman" w:cs="Times New Roman"/>
            <w:noProof/>
            <w:sz w:val="26"/>
            <w:szCs w:val="26"/>
          </w:rPr>
          <w:t>Alle borgere skal kunne beholde egen læge ved flytning</w:t>
        </w:r>
      </w:hyperlink>
    </w:p>
    <w:p w14:paraId="7D75E21E" w14:textId="25BFB56B"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1" w:history="1">
        <w:r w:rsidR="00C674D4" w:rsidRPr="00C674D4">
          <w:rPr>
            <w:rStyle w:val="Hyperlink"/>
            <w:rFonts w:ascii="Times New Roman" w:hAnsi="Times New Roman" w:cs="Times New Roman"/>
            <w:noProof/>
            <w:sz w:val="26"/>
            <w:szCs w:val="26"/>
          </w:rPr>
          <w:t>Gebyrfrit at skifte til en fast læge på plejecentret</w:t>
        </w:r>
      </w:hyperlink>
    </w:p>
    <w:p w14:paraId="2E709D4C" w14:textId="709B455D"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2" w:history="1">
        <w:r w:rsidR="00C674D4" w:rsidRPr="00C674D4">
          <w:rPr>
            <w:rStyle w:val="Hyperlink"/>
            <w:rFonts w:ascii="Times New Roman" w:hAnsi="Times New Roman" w:cs="Times New Roman"/>
            <w:noProof/>
            <w:sz w:val="26"/>
            <w:szCs w:val="26"/>
          </w:rPr>
          <w:t>Digital Post på sundhedsområdet</w:t>
        </w:r>
      </w:hyperlink>
    </w:p>
    <w:p w14:paraId="314F44F3" w14:textId="766768A9" w:rsidR="00C674D4" w:rsidRPr="00C674D4" w:rsidRDefault="008E0CDA">
      <w:pPr>
        <w:pStyle w:val="Indholdsfortegnelse2"/>
        <w:tabs>
          <w:tab w:val="right" w:leader="underscore" w:pos="9521"/>
        </w:tabs>
        <w:rPr>
          <w:rFonts w:ascii="Times New Roman" w:eastAsiaTheme="minorEastAsia" w:hAnsi="Times New Roman" w:cs="Times New Roman"/>
          <w:b w:val="0"/>
          <w:bCs w:val="0"/>
          <w:noProof/>
          <w:sz w:val="26"/>
          <w:szCs w:val="26"/>
        </w:rPr>
      </w:pPr>
      <w:hyperlink w:anchor="_Toc524513543" w:history="1">
        <w:r w:rsidR="00C674D4" w:rsidRPr="00C674D4">
          <w:rPr>
            <w:rStyle w:val="Hyperlink"/>
            <w:rFonts w:ascii="Times New Roman" w:hAnsi="Times New Roman" w:cs="Times New Roman"/>
            <w:noProof/>
            <w:sz w:val="26"/>
            <w:szCs w:val="26"/>
          </w:rPr>
          <w:t>Socialområdet</w:t>
        </w:r>
      </w:hyperlink>
    </w:p>
    <w:p w14:paraId="4914FE09" w14:textId="0CC84C06"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4" w:history="1">
        <w:r w:rsidR="00C674D4" w:rsidRPr="00C674D4">
          <w:rPr>
            <w:rStyle w:val="Hyperlink"/>
            <w:rFonts w:ascii="Times New Roman" w:hAnsi="Times New Roman" w:cs="Times New Roman"/>
            <w:noProof/>
            <w:sz w:val="26"/>
            <w:szCs w:val="26"/>
          </w:rPr>
          <w:t>Fri-institutioner</w:t>
        </w:r>
      </w:hyperlink>
    </w:p>
    <w:p w14:paraId="45627E5B" w14:textId="10E742CF"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5" w:history="1">
        <w:r w:rsidR="00C674D4" w:rsidRPr="00C674D4">
          <w:rPr>
            <w:rStyle w:val="Hyperlink"/>
            <w:rFonts w:ascii="Times New Roman" w:hAnsi="Times New Roman" w:cs="Times New Roman"/>
            <w:noProof/>
            <w:sz w:val="26"/>
            <w:szCs w:val="26"/>
          </w:rPr>
          <w:t>Forenkling af reglerne for egenbetaling efter servicelovens § 84</w:t>
        </w:r>
      </w:hyperlink>
    </w:p>
    <w:p w14:paraId="6E962FCA" w14:textId="39ECC2C2"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6" w:history="1">
        <w:r w:rsidR="00C674D4" w:rsidRPr="00C674D4">
          <w:rPr>
            <w:rStyle w:val="Hyperlink"/>
            <w:rFonts w:ascii="Times New Roman" w:hAnsi="Times New Roman" w:cs="Times New Roman"/>
            <w:noProof/>
            <w:sz w:val="26"/>
            <w:szCs w:val="26"/>
          </w:rPr>
          <w:t>Forenkling af støttestruktur på det frivillige socialområde</w:t>
        </w:r>
      </w:hyperlink>
    </w:p>
    <w:p w14:paraId="12B44435" w14:textId="344C5C30"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7" w:history="1">
        <w:r w:rsidR="00C674D4" w:rsidRPr="00C674D4">
          <w:rPr>
            <w:rStyle w:val="Hyperlink"/>
            <w:rFonts w:ascii="Times New Roman" w:hAnsi="Times New Roman" w:cs="Times New Roman"/>
            <w:noProof/>
            <w:sz w:val="26"/>
            <w:szCs w:val="26"/>
          </w:rPr>
          <w:t>Bedre koordinerede tilsyn</w:t>
        </w:r>
      </w:hyperlink>
    </w:p>
    <w:p w14:paraId="28A9676B" w14:textId="7DE4BBD8"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8" w:history="1">
        <w:r w:rsidR="00C674D4" w:rsidRPr="00C674D4">
          <w:rPr>
            <w:rStyle w:val="Hyperlink"/>
            <w:rFonts w:ascii="Times New Roman" w:hAnsi="Times New Roman" w:cs="Times New Roman"/>
            <w:noProof/>
            <w:sz w:val="26"/>
            <w:szCs w:val="26"/>
          </w:rPr>
          <w:t>Ændring af partshøringsreglerne i forvaltningsloven</w:t>
        </w:r>
      </w:hyperlink>
    </w:p>
    <w:p w14:paraId="05F13643" w14:textId="6F0B35F5"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49" w:history="1">
        <w:r w:rsidR="00C674D4" w:rsidRPr="00C674D4">
          <w:rPr>
            <w:rStyle w:val="Hyperlink"/>
            <w:rFonts w:ascii="Times New Roman" w:hAnsi="Times New Roman" w:cs="Times New Roman"/>
            <w:noProof/>
            <w:sz w:val="26"/>
            <w:szCs w:val="26"/>
          </w:rPr>
          <w:t>Ydelsesforenkling – særlig støtte efter lov om aktiv socialpolitik § 34</w:t>
        </w:r>
      </w:hyperlink>
    </w:p>
    <w:p w14:paraId="11BB5945" w14:textId="5C61906A" w:rsidR="00C674D4" w:rsidRPr="00C674D4" w:rsidRDefault="008E0CDA">
      <w:pPr>
        <w:pStyle w:val="Indholdsfortegnelse2"/>
        <w:tabs>
          <w:tab w:val="right" w:leader="underscore" w:pos="9521"/>
        </w:tabs>
        <w:rPr>
          <w:rFonts w:ascii="Times New Roman" w:eastAsiaTheme="minorEastAsia" w:hAnsi="Times New Roman" w:cs="Times New Roman"/>
          <w:b w:val="0"/>
          <w:bCs w:val="0"/>
          <w:noProof/>
          <w:sz w:val="26"/>
          <w:szCs w:val="26"/>
        </w:rPr>
      </w:pPr>
      <w:hyperlink w:anchor="_Toc524513550" w:history="1">
        <w:r w:rsidR="00C674D4" w:rsidRPr="00C674D4">
          <w:rPr>
            <w:rStyle w:val="Hyperlink"/>
            <w:rFonts w:ascii="Times New Roman" w:hAnsi="Times New Roman" w:cs="Times New Roman"/>
            <w:noProof/>
            <w:sz w:val="26"/>
            <w:szCs w:val="26"/>
          </w:rPr>
          <w:t>Beskæftigelse</w:t>
        </w:r>
      </w:hyperlink>
    </w:p>
    <w:p w14:paraId="5B5C76FE" w14:textId="38CC9EF6"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1" w:history="1">
        <w:r w:rsidR="00C674D4" w:rsidRPr="00C674D4">
          <w:rPr>
            <w:rStyle w:val="Hyperlink"/>
            <w:rFonts w:ascii="Times New Roman" w:hAnsi="Times New Roman" w:cs="Times New Roman"/>
            <w:noProof/>
            <w:sz w:val="26"/>
            <w:szCs w:val="26"/>
          </w:rPr>
          <w:t>Smidigere tildeling af hjælpemidler</w:t>
        </w:r>
      </w:hyperlink>
    </w:p>
    <w:p w14:paraId="054DE0B1" w14:textId="6774393F"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2" w:history="1">
        <w:r w:rsidR="00C674D4" w:rsidRPr="00C674D4">
          <w:rPr>
            <w:rStyle w:val="Hyperlink"/>
            <w:rFonts w:ascii="Times New Roman" w:hAnsi="Times New Roman" w:cs="Times New Roman"/>
            <w:noProof/>
            <w:sz w:val="26"/>
            <w:szCs w:val="26"/>
          </w:rPr>
          <w:t>Forenklet administration af rimelighedskravet</w:t>
        </w:r>
      </w:hyperlink>
    </w:p>
    <w:p w14:paraId="17B1A7CA" w14:textId="50E0F0C0"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3" w:history="1">
        <w:r w:rsidR="00C674D4" w:rsidRPr="00C674D4">
          <w:rPr>
            <w:rStyle w:val="Hyperlink"/>
            <w:rFonts w:ascii="Times New Roman" w:hAnsi="Times New Roman" w:cs="Times New Roman"/>
            <w:noProof/>
            <w:sz w:val="26"/>
            <w:szCs w:val="26"/>
          </w:rPr>
          <w:t>Administrationsforenkling af helbredstillægget</w:t>
        </w:r>
      </w:hyperlink>
    </w:p>
    <w:p w14:paraId="157EC0C9" w14:textId="492CDF94" w:rsidR="00C674D4" w:rsidRPr="00C674D4" w:rsidRDefault="008E0CDA">
      <w:pPr>
        <w:pStyle w:val="Indholdsfortegnelse2"/>
        <w:tabs>
          <w:tab w:val="right" w:leader="underscore" w:pos="9521"/>
        </w:tabs>
        <w:rPr>
          <w:rFonts w:ascii="Times New Roman" w:eastAsiaTheme="minorEastAsia" w:hAnsi="Times New Roman" w:cs="Times New Roman"/>
          <w:b w:val="0"/>
          <w:bCs w:val="0"/>
          <w:noProof/>
          <w:sz w:val="26"/>
          <w:szCs w:val="26"/>
        </w:rPr>
      </w:pPr>
      <w:hyperlink w:anchor="_Toc524513554" w:history="1">
        <w:r w:rsidR="00C674D4" w:rsidRPr="00C674D4">
          <w:rPr>
            <w:rStyle w:val="Hyperlink"/>
            <w:rFonts w:ascii="Times New Roman" w:hAnsi="Times New Roman" w:cs="Times New Roman"/>
            <w:noProof/>
            <w:sz w:val="26"/>
            <w:szCs w:val="26"/>
          </w:rPr>
          <w:t>Uddannelse</w:t>
        </w:r>
      </w:hyperlink>
    </w:p>
    <w:p w14:paraId="3AB68EAD" w14:textId="200AAAE1"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5" w:history="1">
        <w:r w:rsidR="00C674D4" w:rsidRPr="00C674D4">
          <w:rPr>
            <w:rStyle w:val="Hyperlink"/>
            <w:rFonts w:ascii="Times New Roman" w:hAnsi="Times New Roman" w:cs="Times New Roman"/>
            <w:noProof/>
            <w:sz w:val="26"/>
            <w:szCs w:val="26"/>
          </w:rPr>
          <w:t>Afbureaukratisering af specialpædagogisk støtte (SPS)</w:t>
        </w:r>
      </w:hyperlink>
    </w:p>
    <w:p w14:paraId="088C4A68" w14:textId="3F110D7F" w:rsidR="00C674D4" w:rsidRPr="00C674D4" w:rsidRDefault="008E0CDA">
      <w:pPr>
        <w:pStyle w:val="Indholdsfortegnelse2"/>
        <w:tabs>
          <w:tab w:val="right" w:leader="underscore" w:pos="9521"/>
        </w:tabs>
        <w:rPr>
          <w:rFonts w:ascii="Times New Roman" w:eastAsiaTheme="minorEastAsia" w:hAnsi="Times New Roman" w:cs="Times New Roman"/>
          <w:b w:val="0"/>
          <w:bCs w:val="0"/>
          <w:noProof/>
          <w:sz w:val="26"/>
          <w:szCs w:val="26"/>
        </w:rPr>
      </w:pPr>
      <w:hyperlink w:anchor="_Toc524513556" w:history="1">
        <w:r w:rsidR="00C674D4" w:rsidRPr="00C674D4">
          <w:rPr>
            <w:rStyle w:val="Hyperlink"/>
            <w:rFonts w:ascii="Times New Roman" w:hAnsi="Times New Roman" w:cs="Times New Roman"/>
            <w:noProof/>
            <w:sz w:val="26"/>
            <w:szCs w:val="26"/>
          </w:rPr>
          <w:t>Andet</w:t>
        </w:r>
      </w:hyperlink>
    </w:p>
    <w:p w14:paraId="090F3D2B" w14:textId="7BE1E041"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7" w:history="1">
        <w:r w:rsidR="00C674D4" w:rsidRPr="00C674D4">
          <w:rPr>
            <w:rStyle w:val="Hyperlink"/>
            <w:rFonts w:ascii="Times New Roman" w:hAnsi="Times New Roman" w:cs="Times New Roman"/>
            <w:noProof/>
            <w:sz w:val="26"/>
            <w:szCs w:val="26"/>
          </w:rPr>
          <w:t>Bedre buspassagerrettigheder</w:t>
        </w:r>
      </w:hyperlink>
    </w:p>
    <w:p w14:paraId="28AA55BE" w14:textId="75811759" w:rsidR="00C674D4" w:rsidRPr="00C674D4" w:rsidRDefault="008E0CDA">
      <w:pPr>
        <w:pStyle w:val="Indholdsfortegnelse3"/>
        <w:tabs>
          <w:tab w:val="right" w:leader="underscore" w:pos="9521"/>
        </w:tabs>
        <w:rPr>
          <w:rFonts w:ascii="Times New Roman" w:eastAsiaTheme="minorEastAsia" w:hAnsi="Times New Roman" w:cs="Times New Roman"/>
          <w:noProof/>
          <w:sz w:val="26"/>
          <w:szCs w:val="26"/>
        </w:rPr>
      </w:pPr>
      <w:hyperlink w:anchor="_Toc524513558" w:history="1">
        <w:r w:rsidR="00C674D4" w:rsidRPr="00C674D4">
          <w:rPr>
            <w:rStyle w:val="Hyperlink"/>
            <w:rFonts w:ascii="Times New Roman" w:hAnsi="Times New Roman" w:cs="Times New Roman"/>
            <w:noProof/>
            <w:sz w:val="26"/>
            <w:szCs w:val="26"/>
          </w:rPr>
          <w:t>Enkel adgang til tolkning for borgere med hørehandicap</w:t>
        </w:r>
      </w:hyperlink>
    </w:p>
    <w:p w14:paraId="2C30F6F2" w14:textId="747F63E1" w:rsidR="006344E6" w:rsidRPr="00C674D4" w:rsidRDefault="009819B2">
      <w:pPr>
        <w:overflowPunct/>
        <w:autoSpaceDE/>
        <w:autoSpaceDN/>
        <w:adjustRightInd/>
        <w:spacing w:after="200" w:line="276" w:lineRule="auto"/>
        <w:jc w:val="left"/>
        <w:textAlignment w:val="auto"/>
        <w:rPr>
          <w:rFonts w:eastAsiaTheme="majorEastAsia"/>
          <w:b/>
          <w:bCs/>
          <w:szCs w:val="26"/>
          <w:lang w:eastAsia="en-US"/>
        </w:rPr>
      </w:pPr>
      <w:r w:rsidRPr="00C674D4">
        <w:rPr>
          <w:szCs w:val="26"/>
        </w:rPr>
        <w:fldChar w:fldCharType="end"/>
      </w:r>
      <w:r w:rsidR="006344E6" w:rsidRPr="00C674D4">
        <w:rPr>
          <w:szCs w:val="26"/>
        </w:rPr>
        <w:br w:type="page"/>
      </w:r>
    </w:p>
    <w:p w14:paraId="3BCB1469" w14:textId="11BD74A7" w:rsidR="00D86796" w:rsidRDefault="00D86796" w:rsidP="006344E6">
      <w:pPr>
        <w:pStyle w:val="Overskrift2"/>
      </w:pPr>
      <w:bookmarkStart w:id="7" w:name="_Toc524513533"/>
      <w:r>
        <w:lastRenderedPageBreak/>
        <w:t>Sundhed</w:t>
      </w:r>
      <w:bookmarkEnd w:id="6"/>
      <w:bookmarkEnd w:id="7"/>
    </w:p>
    <w:p w14:paraId="27029867" w14:textId="7E4EB80E" w:rsidR="00D86796" w:rsidRDefault="00D86796" w:rsidP="00D86796">
      <w:pPr>
        <w:pStyle w:val="Overskrift3"/>
      </w:pPr>
      <w:bookmarkStart w:id="8" w:name="_Toc524092730"/>
      <w:bookmarkStart w:id="9" w:name="_Toc524513534"/>
      <w:r>
        <w:t>Sundhedsreform på vej</w:t>
      </w:r>
      <w:bookmarkEnd w:id="8"/>
      <w:bookmarkEnd w:id="9"/>
    </w:p>
    <w:p w14:paraId="299D6DED" w14:textId="2CC73A92" w:rsidR="00D86796" w:rsidRDefault="00D86796" w:rsidP="00D86796">
      <w:pPr>
        <w:jc w:val="left"/>
        <w:rPr>
          <w:szCs w:val="26"/>
        </w:rPr>
      </w:pPr>
      <w:r>
        <w:rPr>
          <w:szCs w:val="26"/>
        </w:rPr>
        <w:t xml:space="preserve">Regeringen vil lancere en samlet sundhedsreform i efteråret. Den skal håndtere følgende udfordringer:  </w:t>
      </w:r>
    </w:p>
    <w:p w14:paraId="62340BE7" w14:textId="77777777" w:rsidR="00D86796" w:rsidRPr="00D86796" w:rsidRDefault="00D86796" w:rsidP="00D86796">
      <w:pPr>
        <w:pStyle w:val="Listeafsnit"/>
        <w:numPr>
          <w:ilvl w:val="0"/>
          <w:numId w:val="1"/>
        </w:numPr>
        <w:jc w:val="left"/>
        <w:rPr>
          <w:szCs w:val="26"/>
        </w:rPr>
      </w:pPr>
      <w:r w:rsidRPr="00D86796">
        <w:rPr>
          <w:szCs w:val="26"/>
        </w:rPr>
        <w:t>Mange patienter oplever, at der mangler sammenhæng i deres behandlingsforløb.</w:t>
      </w:r>
    </w:p>
    <w:p w14:paraId="01B97D94" w14:textId="3C112C73" w:rsidR="00D86796" w:rsidRPr="00D86796" w:rsidRDefault="00D86796" w:rsidP="00D86796">
      <w:pPr>
        <w:pStyle w:val="Listeafsnit"/>
        <w:numPr>
          <w:ilvl w:val="0"/>
          <w:numId w:val="1"/>
        </w:numPr>
        <w:jc w:val="left"/>
        <w:rPr>
          <w:szCs w:val="26"/>
        </w:rPr>
      </w:pPr>
      <w:r w:rsidRPr="00D86796">
        <w:rPr>
          <w:szCs w:val="26"/>
        </w:rPr>
        <w:t>For mange behandle</w:t>
      </w:r>
      <w:r>
        <w:rPr>
          <w:szCs w:val="26"/>
        </w:rPr>
        <w:t>s</w:t>
      </w:r>
      <w:r w:rsidRPr="00D86796">
        <w:rPr>
          <w:szCs w:val="26"/>
        </w:rPr>
        <w:t xml:space="preserve"> på et sygehus – i stedet for i kommunale tilbud eller hos praktiserende læge mv. </w:t>
      </w:r>
    </w:p>
    <w:p w14:paraId="44135661" w14:textId="77777777" w:rsidR="00D86796" w:rsidRPr="00D86796" w:rsidRDefault="00D86796" w:rsidP="00D86796">
      <w:pPr>
        <w:pStyle w:val="Listeafsnit"/>
        <w:numPr>
          <w:ilvl w:val="0"/>
          <w:numId w:val="1"/>
        </w:numPr>
        <w:jc w:val="left"/>
        <w:rPr>
          <w:szCs w:val="26"/>
        </w:rPr>
      </w:pPr>
      <w:r w:rsidRPr="00D86796">
        <w:rPr>
          <w:szCs w:val="26"/>
        </w:rPr>
        <w:t>Der er for store forskelle i sundhedstilbuddene, alt efter hvor i landet borgeren bor.</w:t>
      </w:r>
    </w:p>
    <w:p w14:paraId="34E5A93F" w14:textId="77777777" w:rsidR="00D86796" w:rsidRDefault="00D86796" w:rsidP="00D86796">
      <w:pPr>
        <w:jc w:val="left"/>
        <w:rPr>
          <w:szCs w:val="26"/>
        </w:rPr>
      </w:pPr>
    </w:p>
    <w:p w14:paraId="6F6557F4" w14:textId="67E5BCF1" w:rsidR="00D86796" w:rsidRPr="00D86796" w:rsidRDefault="00D86796" w:rsidP="00D86796">
      <w:pPr>
        <w:jc w:val="left"/>
        <w:rPr>
          <w:i/>
          <w:szCs w:val="26"/>
        </w:rPr>
      </w:pPr>
      <w:r w:rsidRPr="00D86796">
        <w:rPr>
          <w:i/>
          <w:szCs w:val="26"/>
        </w:rPr>
        <w:t xml:space="preserve">DH er enig i, at der er behov for at styrke det nære sundhedsvæsen og skabe mere sammenhæng i patientforløbene. DH ønsker, at borgere med kronisk sygdom og handicap sikres bedre forebyggelse og bedre og mere sammenhængende behandling. Bedre tilgængelighed, fokus på multisygdom, ensartet høj kvalitet – fx inden for rehabilitering og genoptræning – samt indførelse af sundhedstjek for de meste sårbare borgere er vigtige emner. </w:t>
      </w:r>
    </w:p>
    <w:p w14:paraId="4E41879A" w14:textId="77777777" w:rsidR="00D86796" w:rsidRDefault="00D86796" w:rsidP="00D86796">
      <w:pPr>
        <w:pStyle w:val="Overskrift3"/>
      </w:pPr>
      <w:bookmarkStart w:id="10" w:name="_Toc524092731"/>
      <w:bookmarkStart w:id="11" w:name="_Toc524513535"/>
      <w:r>
        <w:t>Revision af reglerne om journalføring på sundhedsområdet</w:t>
      </w:r>
      <w:bookmarkEnd w:id="10"/>
      <w:bookmarkEnd w:id="11"/>
    </w:p>
    <w:p w14:paraId="42FC1050" w14:textId="77777777" w:rsidR="00D86796" w:rsidRDefault="00D86796" w:rsidP="00D86796">
      <w:pPr>
        <w:rPr>
          <w:szCs w:val="26"/>
        </w:rPr>
      </w:pPr>
      <w:r>
        <w:rPr>
          <w:szCs w:val="26"/>
        </w:rPr>
        <w:t xml:space="preserve">Regeringen vil afbureaukratisere reglerne om patientjournaler og frigøre tid til patientkontakt. </w:t>
      </w:r>
    </w:p>
    <w:p w14:paraId="5B0AA015" w14:textId="77777777" w:rsidR="00D86796" w:rsidRDefault="00D86796" w:rsidP="00D86796">
      <w:pPr>
        <w:rPr>
          <w:szCs w:val="26"/>
        </w:rPr>
      </w:pPr>
    </w:p>
    <w:p w14:paraId="41AC295C" w14:textId="1501577C" w:rsidR="00D86796" w:rsidRPr="00D86796" w:rsidRDefault="00D86796" w:rsidP="00D86796">
      <w:pPr>
        <w:rPr>
          <w:i/>
          <w:szCs w:val="26"/>
        </w:rPr>
      </w:pPr>
      <w:r w:rsidRPr="00D86796">
        <w:rPr>
          <w:i/>
          <w:szCs w:val="26"/>
        </w:rPr>
        <w:t xml:space="preserve">DH er åben over for forenklinger, men vil se forslaget, før vi kan tage stilling. </w:t>
      </w:r>
    </w:p>
    <w:p w14:paraId="5A60F3B5" w14:textId="77777777" w:rsidR="00D86796" w:rsidRDefault="00D86796" w:rsidP="00D86796">
      <w:pPr>
        <w:pStyle w:val="Overskrift3"/>
      </w:pPr>
      <w:bookmarkStart w:id="12" w:name="_Toc524092732"/>
      <w:bookmarkStart w:id="13" w:name="_Toc524513536"/>
      <w:r>
        <w:t>Aflastning af de alment praktiserende læger</w:t>
      </w:r>
      <w:bookmarkEnd w:id="12"/>
      <w:bookmarkEnd w:id="13"/>
    </w:p>
    <w:p w14:paraId="54725460" w14:textId="77777777" w:rsidR="00D86796" w:rsidRDefault="00D86796" w:rsidP="00D86796">
      <w:pPr>
        <w:rPr>
          <w:szCs w:val="26"/>
        </w:rPr>
      </w:pPr>
      <w:r>
        <w:rPr>
          <w:szCs w:val="26"/>
        </w:rPr>
        <w:t xml:space="preserve">Regeringen vil aflaste de praktiserende læger. Den igangsætter et analysearbejde, der skal se på, om opgaver som i dag varetages af almen praksis – fx administrative opgaver som udfyldning af attester – kan løses andre steder. </w:t>
      </w:r>
    </w:p>
    <w:p w14:paraId="411BB6C0" w14:textId="77777777" w:rsidR="00D86796" w:rsidRDefault="00D86796" w:rsidP="00D86796">
      <w:pPr>
        <w:rPr>
          <w:szCs w:val="26"/>
        </w:rPr>
      </w:pPr>
    </w:p>
    <w:p w14:paraId="5F3EAF5A" w14:textId="791CD0E0" w:rsidR="00D86796" w:rsidRPr="00D86796" w:rsidRDefault="00D86796" w:rsidP="00D86796">
      <w:pPr>
        <w:jc w:val="left"/>
        <w:rPr>
          <w:i/>
          <w:szCs w:val="26"/>
        </w:rPr>
      </w:pPr>
      <w:r w:rsidRPr="00D86796">
        <w:rPr>
          <w:i/>
          <w:szCs w:val="26"/>
        </w:rPr>
        <w:t>DH er positiv over for at aflaste de praktiserende læger. Ansættelse af andre typer sundhedspersonale til at løse opgaver i almen praksis kan være en af vejene. DH vil afvente konkrete forslag, før vi kan tage endelig stilling.</w:t>
      </w:r>
    </w:p>
    <w:p w14:paraId="7E764C34" w14:textId="77777777" w:rsidR="00D86796" w:rsidRDefault="00D86796" w:rsidP="00D86796">
      <w:pPr>
        <w:pStyle w:val="Overskrift3"/>
      </w:pPr>
      <w:bookmarkStart w:id="14" w:name="_Toc524092733"/>
      <w:bookmarkStart w:id="15" w:name="_Toc524513537"/>
      <w:r>
        <w:t>Lempelse af samtykkereglerne</w:t>
      </w:r>
      <w:bookmarkEnd w:id="14"/>
      <w:bookmarkEnd w:id="15"/>
    </w:p>
    <w:p w14:paraId="1B566107" w14:textId="77777777" w:rsidR="00D86796" w:rsidRDefault="00D86796" w:rsidP="00D86796">
      <w:pPr>
        <w:jc w:val="left"/>
        <w:rPr>
          <w:szCs w:val="26"/>
        </w:rPr>
      </w:pPr>
      <w:r>
        <w:rPr>
          <w:szCs w:val="26"/>
        </w:rPr>
        <w:t xml:space="preserve">Regeringen vil lempe reglerne for samtykke i sundhedsloven ved at indføre mulighed for, at pårørende til varigt inhabile – fx personer med demens - kan give generelt stedfortrædende samtykke til, at plejepersonalet kan iværksætte visse mindre undersøgelser og eventuelt behandlinger af den varigt inhabile patient. </w:t>
      </w:r>
    </w:p>
    <w:p w14:paraId="5BD516F1" w14:textId="77777777" w:rsidR="00D86796" w:rsidRDefault="00D86796" w:rsidP="00D86796">
      <w:pPr>
        <w:jc w:val="left"/>
        <w:rPr>
          <w:szCs w:val="26"/>
        </w:rPr>
      </w:pPr>
    </w:p>
    <w:p w14:paraId="18DE0DBF" w14:textId="74A42997" w:rsidR="00D86796" w:rsidRPr="00D86796" w:rsidRDefault="00D86796" w:rsidP="00D86796">
      <w:pPr>
        <w:jc w:val="left"/>
        <w:rPr>
          <w:i/>
          <w:szCs w:val="26"/>
        </w:rPr>
      </w:pPr>
      <w:r w:rsidRPr="00D86796">
        <w:rPr>
          <w:i/>
          <w:szCs w:val="26"/>
        </w:rPr>
        <w:t xml:space="preserve">DH vil ikke afvise, at generelt stedfortrædende samtykke kan være en mulighed i visse situationer, men er også optaget af at fremme inhabile patienters mulighed for selvbestemmelse mest muligt. </w:t>
      </w:r>
    </w:p>
    <w:p w14:paraId="39C37C41" w14:textId="77777777" w:rsidR="00D86796" w:rsidRDefault="00D86796" w:rsidP="00D86796">
      <w:pPr>
        <w:pStyle w:val="Overskrift3"/>
      </w:pPr>
      <w:bookmarkStart w:id="16" w:name="_Toc524092734"/>
      <w:bookmarkStart w:id="17" w:name="_Toc524513538"/>
      <w:r>
        <w:t>Afbureaukratisering af reglerne på høreapparatområdet</w:t>
      </w:r>
      <w:bookmarkEnd w:id="16"/>
      <w:bookmarkEnd w:id="17"/>
    </w:p>
    <w:p w14:paraId="1B82A1A8" w14:textId="77777777" w:rsidR="00D86796" w:rsidRDefault="00D86796" w:rsidP="00D86796">
      <w:pPr>
        <w:jc w:val="left"/>
        <w:rPr>
          <w:szCs w:val="26"/>
        </w:rPr>
      </w:pPr>
      <w:r>
        <w:rPr>
          <w:szCs w:val="26"/>
        </w:rPr>
        <w:t>Regeringen vil tage initiativ til blandt andet at nedbringe ventetiden på høreapparatbehandling og øge gennemsigtigheden om det private tilbud på høreapparatbehandling via fx lettilgængelig prisinformation, kvalitetsdata</w:t>
      </w:r>
    </w:p>
    <w:p w14:paraId="7D806DEA" w14:textId="77777777" w:rsidR="00D86796" w:rsidRDefault="00D86796" w:rsidP="00D86796">
      <w:pPr>
        <w:jc w:val="left"/>
        <w:rPr>
          <w:szCs w:val="26"/>
        </w:rPr>
      </w:pPr>
      <w:r>
        <w:rPr>
          <w:szCs w:val="26"/>
        </w:rPr>
        <w:t>samt oplysninger om virksomhedens ejerforhold.</w:t>
      </w:r>
    </w:p>
    <w:p w14:paraId="43059994" w14:textId="77777777" w:rsidR="00D86796" w:rsidRDefault="00D86796" w:rsidP="00D86796">
      <w:pPr>
        <w:jc w:val="left"/>
        <w:rPr>
          <w:szCs w:val="26"/>
        </w:rPr>
      </w:pPr>
    </w:p>
    <w:p w14:paraId="48E18813" w14:textId="5C3DEB8E" w:rsidR="00D86796" w:rsidRPr="00D86796" w:rsidRDefault="00D86796" w:rsidP="00D86796">
      <w:pPr>
        <w:jc w:val="left"/>
        <w:rPr>
          <w:i/>
          <w:szCs w:val="26"/>
        </w:rPr>
      </w:pPr>
      <w:r w:rsidRPr="00D86796">
        <w:rPr>
          <w:i/>
          <w:szCs w:val="26"/>
        </w:rPr>
        <w:lastRenderedPageBreak/>
        <w:t xml:space="preserve">DH er positiv over for intentionerne om bl.a. at nedbringe ventetiden på høreapparatbehandling. </w:t>
      </w:r>
    </w:p>
    <w:p w14:paraId="76DE9B87" w14:textId="77777777" w:rsidR="00D86796" w:rsidRDefault="00D86796" w:rsidP="00D86796">
      <w:pPr>
        <w:pStyle w:val="Overskrift3"/>
      </w:pPr>
      <w:bookmarkStart w:id="18" w:name="_Toc524092735"/>
      <w:bookmarkStart w:id="19" w:name="_Toc524513539"/>
      <w:r>
        <w:t>Sammenlægning af tandplejeordninger</w:t>
      </w:r>
      <w:bookmarkEnd w:id="18"/>
      <w:bookmarkEnd w:id="19"/>
    </w:p>
    <w:p w14:paraId="55018B12" w14:textId="77777777" w:rsidR="00D86796" w:rsidRDefault="00D86796" w:rsidP="00D86796">
      <w:pPr>
        <w:jc w:val="left"/>
        <w:rPr>
          <w:szCs w:val="26"/>
        </w:rPr>
      </w:pPr>
      <w:r>
        <w:rPr>
          <w:szCs w:val="26"/>
        </w:rPr>
        <w:t xml:space="preserve">I Danmark er der mindst 14 særskilte regulerede tandplejeordninger, som er målrettet bestemte målgrupper. Regeringen vil derfor se på mulighederne for en forenkling af ordningerne. </w:t>
      </w:r>
    </w:p>
    <w:p w14:paraId="37410349" w14:textId="77777777" w:rsidR="00D86796" w:rsidRDefault="00D86796" w:rsidP="00D86796">
      <w:pPr>
        <w:jc w:val="left"/>
        <w:rPr>
          <w:szCs w:val="26"/>
        </w:rPr>
      </w:pPr>
    </w:p>
    <w:p w14:paraId="5427E7E0" w14:textId="6C0084E0" w:rsidR="00D86796" w:rsidRPr="00B41148" w:rsidRDefault="00D86796" w:rsidP="00D86796">
      <w:pPr>
        <w:jc w:val="left"/>
        <w:rPr>
          <w:i/>
          <w:szCs w:val="26"/>
        </w:rPr>
      </w:pPr>
      <w:r w:rsidRPr="00B41148">
        <w:rPr>
          <w:i/>
          <w:szCs w:val="26"/>
        </w:rPr>
        <w:t xml:space="preserve">DH er åben over for forenklinger af de nuværende tandplejeordninger. Det er dog en forudsætning, at mennesker med handicap ikke stilles ringere ved eventuelle sammenlægninger af ordninger som fx omsorgstandpleje og specialtandpleje. Der er behov for et løft af tandsundhed og tandpleje for mennesker med handicap, ikke forringelser. </w:t>
      </w:r>
    </w:p>
    <w:p w14:paraId="44176699" w14:textId="77777777" w:rsidR="00D86796" w:rsidRDefault="00D86796" w:rsidP="00B41148">
      <w:pPr>
        <w:pStyle w:val="Overskrift3"/>
      </w:pPr>
      <w:bookmarkStart w:id="20" w:name="_Toc524092736"/>
      <w:bookmarkStart w:id="21" w:name="_Toc524513540"/>
      <w:r>
        <w:t>Alle borgere skal kunne beholde egen læge ved flytning</w:t>
      </w:r>
      <w:bookmarkEnd w:id="20"/>
      <w:bookmarkEnd w:id="21"/>
    </w:p>
    <w:p w14:paraId="50C7C409" w14:textId="77777777" w:rsidR="00D86796" w:rsidRDefault="00D86796" w:rsidP="00B41148">
      <w:pPr>
        <w:jc w:val="left"/>
        <w:rPr>
          <w:szCs w:val="26"/>
        </w:rPr>
      </w:pPr>
      <w:r>
        <w:rPr>
          <w:szCs w:val="26"/>
        </w:rPr>
        <w:t xml:space="preserve">Regeringen vil sikre, at alle borgere får mulighed for at beholde deres egen læge ved flytning – uanset hvor langt væk borgeren flytter. </w:t>
      </w:r>
    </w:p>
    <w:p w14:paraId="1AB87FEA" w14:textId="77777777" w:rsidR="00D86796" w:rsidRDefault="00D86796" w:rsidP="00D86796">
      <w:pPr>
        <w:rPr>
          <w:szCs w:val="26"/>
        </w:rPr>
      </w:pPr>
    </w:p>
    <w:p w14:paraId="330FE40A" w14:textId="5F16497C" w:rsidR="00D86796" w:rsidRDefault="00D86796" w:rsidP="00D86796">
      <w:pPr>
        <w:rPr>
          <w:i/>
          <w:szCs w:val="26"/>
        </w:rPr>
      </w:pPr>
      <w:r w:rsidRPr="00B41148">
        <w:rPr>
          <w:i/>
          <w:szCs w:val="26"/>
        </w:rPr>
        <w:t xml:space="preserve">Det er DH positiv over for. </w:t>
      </w:r>
    </w:p>
    <w:p w14:paraId="4C284718" w14:textId="3ED51695" w:rsidR="0001240B" w:rsidRPr="00A57603" w:rsidRDefault="0001240B" w:rsidP="0001240B">
      <w:pPr>
        <w:pStyle w:val="Overskrift3"/>
      </w:pPr>
      <w:bookmarkStart w:id="22" w:name="_Toc524513541"/>
      <w:r w:rsidRPr="00A57603">
        <w:t>Gebyrfrit at skifte til en fast læge på plejecentret</w:t>
      </w:r>
      <w:bookmarkEnd w:id="22"/>
    </w:p>
    <w:p w14:paraId="403C523D" w14:textId="77777777" w:rsidR="0001240B" w:rsidRDefault="0001240B" w:rsidP="0001240B">
      <w:pPr>
        <w:rPr>
          <w:szCs w:val="26"/>
        </w:rPr>
      </w:pPr>
      <w:r>
        <w:rPr>
          <w:szCs w:val="26"/>
        </w:rPr>
        <w:t xml:space="preserve">Regeringen vil gøre det lettere for beboere på plejecentre at skift til den læge, der er fast tilknyttet centeret. </w:t>
      </w:r>
      <w:r w:rsidRPr="00115D73">
        <w:rPr>
          <w:szCs w:val="26"/>
        </w:rPr>
        <w:t>Regeringen vil derfor fjerne gebyret</w:t>
      </w:r>
      <w:r>
        <w:rPr>
          <w:szCs w:val="26"/>
        </w:rPr>
        <w:t xml:space="preserve"> for lægeskift i disse tilfælde. </w:t>
      </w:r>
    </w:p>
    <w:p w14:paraId="652BC4ED" w14:textId="77777777" w:rsidR="0001240B" w:rsidRDefault="0001240B" w:rsidP="0001240B">
      <w:pPr>
        <w:rPr>
          <w:szCs w:val="26"/>
        </w:rPr>
      </w:pPr>
    </w:p>
    <w:p w14:paraId="5B2E9EF9" w14:textId="1BB84FEF" w:rsidR="0001240B" w:rsidRPr="0001240B" w:rsidRDefault="0001240B" w:rsidP="0001240B">
      <w:pPr>
        <w:rPr>
          <w:i/>
          <w:szCs w:val="26"/>
        </w:rPr>
      </w:pPr>
      <w:r w:rsidRPr="0001240B">
        <w:rPr>
          <w:i/>
          <w:szCs w:val="26"/>
        </w:rPr>
        <w:t xml:space="preserve">Så længe man kan beholde sig egen læge og frit kan vælge, så har DH ikke noget imod, at det gøres gebyrfrit at skifte til den fasttilknyttede læge. </w:t>
      </w:r>
    </w:p>
    <w:p w14:paraId="46C81892" w14:textId="77777777" w:rsidR="0001240B" w:rsidRPr="00180362" w:rsidRDefault="0001240B" w:rsidP="0001240B">
      <w:pPr>
        <w:pStyle w:val="Overskrift3"/>
      </w:pPr>
      <w:bookmarkStart w:id="23" w:name="_Toc524513542"/>
      <w:r w:rsidRPr="00180362">
        <w:t>Digital Post på sundhedsområdet</w:t>
      </w:r>
      <w:bookmarkEnd w:id="23"/>
    </w:p>
    <w:p w14:paraId="056365D8" w14:textId="77777777" w:rsidR="0001240B" w:rsidRPr="00115D73" w:rsidRDefault="0001240B" w:rsidP="0001240B">
      <w:pPr>
        <w:rPr>
          <w:szCs w:val="26"/>
        </w:rPr>
      </w:pPr>
      <w:r w:rsidRPr="00115D73">
        <w:rPr>
          <w:szCs w:val="26"/>
        </w:rPr>
        <w:t>Både patienter, læger og privathospitaler oplever unødigt bøvl, når der i forbindelse med behandlingsforløb</w:t>
      </w:r>
      <w:r>
        <w:rPr>
          <w:szCs w:val="26"/>
        </w:rPr>
        <w:t xml:space="preserve"> </w:t>
      </w:r>
      <w:r w:rsidRPr="00115D73">
        <w:rPr>
          <w:szCs w:val="26"/>
        </w:rPr>
        <w:t>og undersøgelser er behov for at kommunikere digitalt.</w:t>
      </w:r>
    </w:p>
    <w:p w14:paraId="5146C9E9" w14:textId="77777777" w:rsidR="0001240B" w:rsidRDefault="0001240B" w:rsidP="0001240B">
      <w:pPr>
        <w:rPr>
          <w:szCs w:val="26"/>
        </w:rPr>
      </w:pPr>
      <w:r w:rsidRPr="00115D73">
        <w:rPr>
          <w:szCs w:val="26"/>
        </w:rPr>
        <w:t>Regeringen vil undersøge mulige løsninger, så borgerne digitalt kan modtage vigtige breve fra læger, privathospitaler</w:t>
      </w:r>
      <w:r>
        <w:rPr>
          <w:szCs w:val="26"/>
        </w:rPr>
        <w:t xml:space="preserve"> </w:t>
      </w:r>
      <w:r w:rsidRPr="00115D73">
        <w:rPr>
          <w:szCs w:val="26"/>
        </w:rPr>
        <w:t>mv. på samme måde som offentlige sygehuse uden først at skulle afgive samtykke.</w:t>
      </w:r>
    </w:p>
    <w:p w14:paraId="23BCE390" w14:textId="77777777" w:rsidR="0001240B" w:rsidRDefault="0001240B" w:rsidP="0001240B">
      <w:pPr>
        <w:rPr>
          <w:szCs w:val="26"/>
        </w:rPr>
      </w:pPr>
    </w:p>
    <w:p w14:paraId="661F5DC4" w14:textId="77777777" w:rsidR="0001240B" w:rsidRPr="0001240B" w:rsidRDefault="0001240B" w:rsidP="0001240B">
      <w:pPr>
        <w:rPr>
          <w:i/>
          <w:sz w:val="22"/>
        </w:rPr>
      </w:pPr>
      <w:r w:rsidRPr="0001240B">
        <w:rPr>
          <w:i/>
          <w:szCs w:val="26"/>
        </w:rPr>
        <w:t xml:space="preserve">DH er umiddelbart positiv, men afventer mere konkrete forslag. </w:t>
      </w:r>
      <w:r w:rsidRPr="0001240B">
        <w:rPr>
          <w:i/>
        </w:rPr>
        <w:t>Løsningen skal følge de nuværende regler for digital post med muligheder for fritagelse, læseadgang osv.</w:t>
      </w:r>
    </w:p>
    <w:p w14:paraId="485AC2BD" w14:textId="0F31C732" w:rsidR="00D86796" w:rsidRPr="00D86796" w:rsidRDefault="00D86796" w:rsidP="00D86796">
      <w:pPr>
        <w:pStyle w:val="Overskrift2"/>
      </w:pPr>
      <w:bookmarkStart w:id="24" w:name="_Toc524092737"/>
      <w:bookmarkStart w:id="25" w:name="_Toc524513543"/>
      <w:r>
        <w:t>Socialområdet</w:t>
      </w:r>
      <w:bookmarkEnd w:id="24"/>
      <w:bookmarkEnd w:id="25"/>
    </w:p>
    <w:p w14:paraId="67051287" w14:textId="77777777" w:rsidR="000651EF" w:rsidRPr="000651EF" w:rsidRDefault="000651EF" w:rsidP="000651EF">
      <w:pPr>
        <w:pStyle w:val="Overskrift3"/>
        <w:rPr>
          <w:sz w:val="22"/>
        </w:rPr>
      </w:pPr>
      <w:bookmarkStart w:id="26" w:name="_Toc524092739"/>
      <w:bookmarkStart w:id="27" w:name="_Toc524513544"/>
      <w:r w:rsidRPr="000651EF">
        <w:t>Fri-institutioner</w:t>
      </w:r>
      <w:bookmarkEnd w:id="26"/>
      <w:bookmarkEnd w:id="27"/>
    </w:p>
    <w:p w14:paraId="48A4BB34" w14:textId="77777777" w:rsidR="000651EF" w:rsidRPr="000651EF" w:rsidRDefault="000651EF" w:rsidP="000651EF">
      <w:pPr>
        <w:jc w:val="left"/>
      </w:pPr>
      <w:r w:rsidRPr="000651EF">
        <w:t>Regeringen har igangsat forsøg med fri-institutioner i en række kommuner på plejehjem, dagtilbud og sociale botilbud, for at løfte kvaliteten i opgaveløsningen. Institutionerne fritages fra blandt andet statslige regler, kommunal regulering og lokale krav. De udvalgte institutioner får selv mulighed for at pege på, hvilken regulering de gerne vil fritages fra. Der er ikke frihed til at svække på service eller borgerens retssikkerhed. Regeringen vil videre ad den vej, og der igangsættes derfor flere forsøg med fri-institutioner på flere nye områder. Der åbnes samtidig op for forsøg i alle 98 kommuner.  </w:t>
      </w:r>
    </w:p>
    <w:p w14:paraId="72AEA4E3" w14:textId="77777777" w:rsidR="000651EF" w:rsidRPr="000651EF" w:rsidRDefault="000651EF" w:rsidP="000651EF">
      <w:pPr>
        <w:jc w:val="left"/>
      </w:pPr>
    </w:p>
    <w:p w14:paraId="30F880FE" w14:textId="77777777" w:rsidR="000651EF" w:rsidRPr="000651EF" w:rsidRDefault="000651EF" w:rsidP="000651EF">
      <w:pPr>
        <w:rPr>
          <w:i/>
        </w:rPr>
      </w:pPr>
      <w:r w:rsidRPr="000651EF">
        <w:rPr>
          <w:bCs/>
          <w:i/>
        </w:rPr>
        <w:lastRenderedPageBreak/>
        <w:t xml:space="preserve">DH mener, </w:t>
      </w:r>
      <w:r w:rsidRPr="000651EF">
        <w:rPr>
          <w:i/>
        </w:rPr>
        <w:t>at det kan være udmærket at lave forsøg med fri-institutioner på det sociale område, for at finde nye og smartere løsninger. Det bliver dog afgørende at se hvilke regler der fritages fra og det er altafgørende at borgernes retssikkerhed ikke svækkes.</w:t>
      </w:r>
    </w:p>
    <w:p w14:paraId="7167D48E" w14:textId="77777777" w:rsidR="000651EF" w:rsidRPr="000651EF" w:rsidRDefault="000651EF" w:rsidP="000651EF"/>
    <w:p w14:paraId="375238C2" w14:textId="77777777" w:rsidR="000651EF" w:rsidRPr="000651EF" w:rsidRDefault="000651EF" w:rsidP="000651EF">
      <w:pPr>
        <w:pStyle w:val="Overskrift3"/>
      </w:pPr>
      <w:bookmarkStart w:id="28" w:name="_Toc524092740"/>
      <w:bookmarkStart w:id="29" w:name="_Toc524513545"/>
      <w:r w:rsidRPr="000651EF">
        <w:t>Forenkling af reglerne for egenbetaling efter servicelovens § 84</w:t>
      </w:r>
      <w:bookmarkEnd w:id="28"/>
      <w:bookmarkEnd w:id="29"/>
    </w:p>
    <w:p w14:paraId="685836FA" w14:textId="77777777" w:rsidR="000651EF" w:rsidRPr="000651EF" w:rsidRDefault="000651EF" w:rsidP="000651EF">
      <w:pPr>
        <w:jc w:val="left"/>
      </w:pPr>
      <w:r w:rsidRPr="000651EF">
        <w:t xml:space="preserve">Der kan opkræves egenbetaling for hjælp efter servicelovens § 84 til afløsning eller aflastning til ægtefælle, forældre eller andre nære pårørende, der passer en person med nedsat fysisk eller psykisk funktionsevne. Reglerne vurderes at være komplicerede at anvende for kommunerne. Regeringen vil derfor forenkle reglerne for egenbetaling. </w:t>
      </w:r>
    </w:p>
    <w:p w14:paraId="1B42001F" w14:textId="77777777" w:rsidR="000651EF" w:rsidRPr="000651EF" w:rsidRDefault="000651EF" w:rsidP="000651EF">
      <w:pPr>
        <w:jc w:val="left"/>
      </w:pPr>
    </w:p>
    <w:p w14:paraId="4E0B5CEF" w14:textId="77777777" w:rsidR="000651EF" w:rsidRPr="000651EF" w:rsidRDefault="000651EF" w:rsidP="000651EF">
      <w:pPr>
        <w:jc w:val="left"/>
        <w:rPr>
          <w:i/>
        </w:rPr>
      </w:pPr>
      <w:r w:rsidRPr="000651EF">
        <w:rPr>
          <w:bCs/>
          <w:i/>
        </w:rPr>
        <w:t>DH afventer</w:t>
      </w:r>
      <w:r w:rsidRPr="000651EF">
        <w:rPr>
          <w:i/>
        </w:rPr>
        <w:t xml:space="preserve"> at se et konkret forslag, før det kan vurderes om dette er til gavn for borgerne eller ej.</w:t>
      </w:r>
    </w:p>
    <w:p w14:paraId="72322AA5" w14:textId="77777777" w:rsidR="000651EF" w:rsidRPr="000651EF" w:rsidRDefault="000651EF" w:rsidP="000651EF">
      <w:pPr>
        <w:pStyle w:val="Overskrift3"/>
      </w:pPr>
      <w:bookmarkStart w:id="30" w:name="_Toc524092741"/>
      <w:bookmarkStart w:id="31" w:name="_Toc524513546"/>
      <w:r w:rsidRPr="000651EF">
        <w:t>Forenkling af støttestruktur på det frivillige socialområde</w:t>
      </w:r>
      <w:bookmarkEnd w:id="30"/>
      <w:bookmarkEnd w:id="31"/>
    </w:p>
    <w:p w14:paraId="099AE8AB" w14:textId="77777777" w:rsidR="000651EF" w:rsidRPr="000651EF" w:rsidRDefault="000651EF" w:rsidP="000651EF">
      <w:pPr>
        <w:jc w:val="left"/>
      </w:pPr>
      <w:r w:rsidRPr="000651EF">
        <w:t>Regeringen vil gøre det lettere at være frivillig og sikre, at flest mulige kræfter kanaliseres til de frivillige indsatser uden brug af unødige dokumentationskrav. Derfor vil regeringen med 15 konkrete initiativer sikre en mere enkel støttestruktur på det frivillige sociale område, så det bliver lettere for frivillige foreninger og organisationer at navigere i tilskudsadministrationen.</w:t>
      </w:r>
    </w:p>
    <w:p w14:paraId="16DCA1BE" w14:textId="77777777" w:rsidR="000651EF" w:rsidRPr="000651EF" w:rsidRDefault="000651EF" w:rsidP="000651EF">
      <w:pPr>
        <w:jc w:val="left"/>
      </w:pPr>
    </w:p>
    <w:p w14:paraId="2935C3A7" w14:textId="77777777" w:rsidR="000651EF" w:rsidRPr="000651EF" w:rsidRDefault="000651EF" w:rsidP="000651EF">
      <w:pPr>
        <w:jc w:val="left"/>
        <w:rPr>
          <w:i/>
        </w:rPr>
      </w:pPr>
      <w:r w:rsidRPr="000651EF">
        <w:rPr>
          <w:bCs/>
          <w:i/>
        </w:rPr>
        <w:t>DH ser positivt på</w:t>
      </w:r>
      <w:r w:rsidRPr="000651EF">
        <w:rPr>
          <w:i/>
        </w:rPr>
        <w:t>, at der laves forenklinger i forhold til de midler som frivillige foreninger og organisationer kan søge til deres arbejde.</w:t>
      </w:r>
    </w:p>
    <w:p w14:paraId="442EE1DE" w14:textId="77777777" w:rsidR="000651EF" w:rsidRPr="000651EF" w:rsidRDefault="000651EF" w:rsidP="000651EF">
      <w:pPr>
        <w:pStyle w:val="Overskrift3"/>
      </w:pPr>
      <w:bookmarkStart w:id="32" w:name="_Toc524092742"/>
      <w:bookmarkStart w:id="33" w:name="_Toc524513547"/>
      <w:r w:rsidRPr="000651EF">
        <w:t>Bedre koordinerede tilsyn</w:t>
      </w:r>
      <w:bookmarkEnd w:id="32"/>
      <w:bookmarkEnd w:id="33"/>
    </w:p>
    <w:p w14:paraId="559BCBFA" w14:textId="77777777" w:rsidR="000651EF" w:rsidRPr="000651EF" w:rsidRDefault="000651EF" w:rsidP="000651EF">
      <w:pPr>
        <w:jc w:val="left"/>
      </w:pPr>
      <w:r w:rsidRPr="000651EF">
        <w:t>En lang række offentlige tilsyn fører i dag tilsyn med myndigheder og virksomheder (Arbejdstilsynet, Fødevarestyrelsen, Socialtilsynene mv.). De mange tilsyn tager unødig tid fra kerneopgaven, hvis ikke tilsynene koordineres hensigtsmæssigt. Regeringen vil derfor forenkle de offentlige tilsyn, så de koordineres bedre fremadrettet under hensyntagen til de særlige fagligheder, der gør sig gældende inden for konkrete tilsynsaktiviteter.</w:t>
      </w:r>
    </w:p>
    <w:p w14:paraId="54ED16DA" w14:textId="77777777" w:rsidR="000651EF" w:rsidRPr="000651EF" w:rsidRDefault="000651EF" w:rsidP="000651EF">
      <w:pPr>
        <w:jc w:val="left"/>
      </w:pPr>
    </w:p>
    <w:p w14:paraId="26928BA7" w14:textId="77777777" w:rsidR="000651EF" w:rsidRPr="000651EF" w:rsidRDefault="000651EF" w:rsidP="000651EF">
      <w:pPr>
        <w:jc w:val="left"/>
        <w:rPr>
          <w:i/>
        </w:rPr>
      </w:pPr>
      <w:r w:rsidRPr="000651EF">
        <w:rPr>
          <w:bCs/>
          <w:i/>
        </w:rPr>
        <w:t>DH finder det meget positivt</w:t>
      </w:r>
      <w:r w:rsidRPr="000651EF">
        <w:rPr>
          <w:i/>
        </w:rPr>
        <w:t>, at der skal ske en koordinering mellem forskellige tilsynsmyndigheder. Det er en problemstilling DH har sat fokus på gennem længere tid fx i forhold til Socialtilsynet og Arbejdstilsynets manglende samarbejde når der føres tilsyn på botilbud.</w:t>
      </w:r>
    </w:p>
    <w:p w14:paraId="751BDA17" w14:textId="77777777" w:rsidR="000651EF" w:rsidRPr="000651EF" w:rsidRDefault="000651EF" w:rsidP="000651EF">
      <w:pPr>
        <w:pStyle w:val="Overskrift3"/>
      </w:pPr>
      <w:bookmarkStart w:id="34" w:name="_Toc524092743"/>
      <w:bookmarkStart w:id="35" w:name="_Toc524513548"/>
      <w:r w:rsidRPr="000651EF">
        <w:t>Ændring af partshøringsreglerne i forvaltningsloven</w:t>
      </w:r>
      <w:bookmarkEnd w:id="34"/>
      <w:bookmarkEnd w:id="35"/>
    </w:p>
    <w:p w14:paraId="488AA77B" w14:textId="77777777" w:rsidR="000651EF" w:rsidRPr="000651EF" w:rsidRDefault="000651EF" w:rsidP="000651EF">
      <w:pPr>
        <w:jc w:val="left"/>
      </w:pPr>
      <w:r w:rsidRPr="000651EF">
        <w:t>I dag sendes hvert år flere hundredetusinde partshøringsbreve til borgerne forud for, at en myndighed kan træffe en afgørelse og sende den til borgeren. På nogle områder kan partshøring og meddelelse af den forventede afgørelse med fordel ske i det samme brev. Det kan fx være, hvor der sker løbende udbetalinger af en ydelse. Regeringen vil præcisere reglerne i forvaltningsloven, så det bliver klarere, hvornår partshøring og den forventede</w:t>
      </w:r>
    </w:p>
    <w:p w14:paraId="0A47EEBB" w14:textId="77777777" w:rsidR="000651EF" w:rsidRPr="000651EF" w:rsidRDefault="000651EF" w:rsidP="000651EF">
      <w:pPr>
        <w:jc w:val="left"/>
      </w:pPr>
      <w:r w:rsidRPr="000651EF">
        <w:t xml:space="preserve">afgørelse kan slås sammen i ét brev. </w:t>
      </w:r>
    </w:p>
    <w:p w14:paraId="049E35A2" w14:textId="77777777" w:rsidR="000651EF" w:rsidRPr="000651EF" w:rsidRDefault="000651EF" w:rsidP="000651EF">
      <w:pPr>
        <w:jc w:val="left"/>
      </w:pPr>
    </w:p>
    <w:p w14:paraId="447C3615" w14:textId="77777777" w:rsidR="000651EF" w:rsidRPr="000651EF" w:rsidRDefault="000651EF" w:rsidP="000651EF">
      <w:pPr>
        <w:jc w:val="left"/>
        <w:rPr>
          <w:i/>
        </w:rPr>
      </w:pPr>
      <w:r w:rsidRPr="000651EF">
        <w:rPr>
          <w:bCs/>
          <w:i/>
        </w:rPr>
        <w:t>DH finder</w:t>
      </w:r>
      <w:r w:rsidRPr="000651EF">
        <w:rPr>
          <w:i/>
        </w:rPr>
        <w:t>, at partshøring og afgørelser godt i visse tilfælde kan slås sammen i et samlet brev. Det vil dog komme an på for hvilke områder det kommer til at gælde. Det er en forudsætning, at det er tydeligt for borgeren, at der er tale om både afgørelse og partshøring, så borgerens ret til at blive hørt står helt tydelig.</w:t>
      </w:r>
    </w:p>
    <w:p w14:paraId="2A521620" w14:textId="77777777" w:rsidR="000651EF" w:rsidRPr="000651EF" w:rsidRDefault="000651EF" w:rsidP="000651EF">
      <w:pPr>
        <w:pStyle w:val="Overskrift3"/>
      </w:pPr>
      <w:bookmarkStart w:id="36" w:name="_Toc524092744"/>
      <w:bookmarkStart w:id="37" w:name="_Toc524513549"/>
      <w:r w:rsidRPr="000651EF">
        <w:lastRenderedPageBreak/>
        <w:t>Ydelsesforenkling – særlig støtte efter lov om aktiv socialpolitik § 34</w:t>
      </w:r>
      <w:bookmarkEnd w:id="36"/>
      <w:bookmarkEnd w:id="37"/>
    </w:p>
    <w:p w14:paraId="2A278652" w14:textId="77777777" w:rsidR="000651EF" w:rsidRPr="000651EF" w:rsidRDefault="000651EF" w:rsidP="000651EF">
      <w:pPr>
        <w:jc w:val="left"/>
      </w:pPr>
      <w:r w:rsidRPr="000651EF">
        <w:t>Det er regeringens ambition at ændre opgavesplittet for særlig støtte, så tildelingen af særlig støtte flyttes til Udbetaling Danmark i sin helhed. Samtidig vil regeringen undersøge mulighederne for at forenkle reglerne om særlig støtte. Formålet er at sikre en mere effektiv og smidig administration af særlig støtte.</w:t>
      </w:r>
    </w:p>
    <w:p w14:paraId="4958B036" w14:textId="77777777" w:rsidR="000651EF" w:rsidRPr="000651EF" w:rsidRDefault="000651EF" w:rsidP="000651EF">
      <w:pPr>
        <w:jc w:val="left"/>
      </w:pPr>
    </w:p>
    <w:p w14:paraId="6A6CD8D6" w14:textId="77777777" w:rsidR="000651EF" w:rsidRPr="000651EF" w:rsidRDefault="000651EF" w:rsidP="000651EF">
      <w:pPr>
        <w:jc w:val="left"/>
        <w:rPr>
          <w:i/>
        </w:rPr>
      </w:pPr>
      <w:r w:rsidRPr="000651EF">
        <w:rPr>
          <w:i/>
        </w:rPr>
        <w:t>DH mener, at det er uhensigtsmæssigt at udmåling af særlig støtte flyttes til Udbetaling Danmark, som ikke har personlig betjening. Derudover må det afventes at se et konkret forslag om forenkling af reglerne for særligt støtte, før det kan vurderes om dette er til gavn for borgerne eller ej.</w:t>
      </w:r>
    </w:p>
    <w:p w14:paraId="627552AB" w14:textId="449F9E6B" w:rsidR="000651EF" w:rsidRDefault="000651EF" w:rsidP="000651EF">
      <w:pPr>
        <w:pStyle w:val="Overskrift2"/>
      </w:pPr>
      <w:bookmarkStart w:id="38" w:name="_Toc524092745"/>
      <w:bookmarkStart w:id="39" w:name="_Toc524513550"/>
      <w:r>
        <w:t>Beskæftigelse</w:t>
      </w:r>
      <w:bookmarkEnd w:id="38"/>
      <w:bookmarkEnd w:id="39"/>
    </w:p>
    <w:p w14:paraId="51B08EF7" w14:textId="77777777" w:rsidR="006344E6" w:rsidRPr="006344E6" w:rsidRDefault="006344E6" w:rsidP="006344E6">
      <w:pPr>
        <w:pStyle w:val="Overskrift3"/>
        <w:rPr>
          <w:sz w:val="22"/>
        </w:rPr>
      </w:pPr>
      <w:bookmarkStart w:id="40" w:name="_Toc524092746"/>
      <w:bookmarkStart w:id="41" w:name="_Toc524513551"/>
      <w:r w:rsidRPr="006344E6">
        <w:t>Smidigere tildeling af hjælpemidler</w:t>
      </w:r>
      <w:bookmarkEnd w:id="40"/>
      <w:bookmarkEnd w:id="41"/>
    </w:p>
    <w:p w14:paraId="7D697EE1" w14:textId="77777777" w:rsidR="006344E6" w:rsidRPr="006344E6" w:rsidRDefault="006344E6" w:rsidP="006344E6">
      <w:pPr>
        <w:jc w:val="left"/>
      </w:pPr>
      <w:r w:rsidRPr="006344E6">
        <w:t xml:space="preserve">Regeringen vil løse sammenhængsproblemer, når det kommer til hjælpemidler for mennesker i handicap, som skal i arbejde. Regeringen fremhæver selv det besvær det kan give, at man efter endt uddannelse skal aflevere sine hjælpemidler retur til uddannelsessektoren. Det fremgår, at regeringen vil komme med et eller flere initiativer på området i forbindelse med det handicappolitiske udspil. </w:t>
      </w:r>
    </w:p>
    <w:p w14:paraId="5335862F" w14:textId="77777777" w:rsidR="006344E6" w:rsidRPr="006344E6" w:rsidRDefault="006344E6" w:rsidP="006344E6">
      <w:pPr>
        <w:jc w:val="left"/>
      </w:pPr>
    </w:p>
    <w:p w14:paraId="47698A12" w14:textId="285D846C" w:rsidR="006344E6" w:rsidRDefault="006344E6" w:rsidP="006344E6">
      <w:pPr>
        <w:jc w:val="left"/>
        <w:rPr>
          <w:i/>
          <w:iCs/>
        </w:rPr>
      </w:pPr>
      <w:r w:rsidRPr="006344E6">
        <w:rPr>
          <w:i/>
          <w:iCs/>
        </w:rPr>
        <w:t xml:space="preserve">DH finder det meget positivt, at regeringen vil tage fat på problemerne omkring overgange mellem sektorer, og har selv været i dialog med regeringen om problemerne og løsningsmodeller. </w:t>
      </w:r>
    </w:p>
    <w:p w14:paraId="3350D981" w14:textId="77777777" w:rsidR="006344E6" w:rsidRPr="006344E6" w:rsidRDefault="006344E6" w:rsidP="006344E6">
      <w:pPr>
        <w:pStyle w:val="Overskrift3"/>
      </w:pPr>
      <w:bookmarkStart w:id="42" w:name="_Toc524092747"/>
      <w:bookmarkStart w:id="43" w:name="_Toc524513552"/>
      <w:r w:rsidRPr="006344E6">
        <w:t>Forenklet administration af rimelighedskravet</w:t>
      </w:r>
      <w:bookmarkEnd w:id="42"/>
      <w:bookmarkEnd w:id="43"/>
    </w:p>
    <w:p w14:paraId="3FB4F23F" w14:textId="77777777" w:rsidR="006344E6" w:rsidRPr="006344E6" w:rsidRDefault="006344E6" w:rsidP="006344E6">
      <w:pPr>
        <w:jc w:val="left"/>
      </w:pPr>
      <w:r w:rsidRPr="006344E6">
        <w:t xml:space="preserve">Regeringen ønsker at digitalisere rimelighedskravet. Rimelighedskravet regulerer forholdet mellem ordinært ansatte samt ansatte i løntilskud og virksomhedspraktik. Formålet med rimelighedskravet er at skabe en balance, der sikrer, at virksomheder har rum til at tage et socialt ansvar ved at inkludere mennesker på kanten af arbejdsmarkedet, samtidig med at der ikke kan spekuleres i at have en meget stor andel ansatte på støtte vilkår. Det nye krav og digitaliseringen heraf fastsættes af arbejdsmarkedet parter og skal godkendes af partierne bag forrige uges aftale om forenkling af beskæftigelsesindsatsen. </w:t>
      </w:r>
    </w:p>
    <w:p w14:paraId="1BBE2033" w14:textId="77777777" w:rsidR="006344E6" w:rsidRPr="006344E6" w:rsidRDefault="006344E6" w:rsidP="006344E6">
      <w:pPr>
        <w:jc w:val="left"/>
      </w:pPr>
    </w:p>
    <w:p w14:paraId="3635EE0F" w14:textId="4656B1C9" w:rsidR="0001240B" w:rsidRDefault="006344E6" w:rsidP="00184DB4">
      <w:pPr>
        <w:jc w:val="left"/>
        <w:rPr>
          <w:i/>
          <w:iCs/>
        </w:rPr>
      </w:pPr>
      <w:r w:rsidRPr="006344E6">
        <w:rPr>
          <w:i/>
          <w:iCs/>
        </w:rPr>
        <w:t>DH mener, det er en fint at digitalisere administrationen af kravet. I den forbindelse mener DH, man bør sikre at virksomheder har større mulighed for at inkludere flere fra kanten af arbejdsmarkedet, ved at lempe en smule på rimelighedskravet. Det kan f.eks. ske ved at rimelighedskravet opgøres efter arbejdstimer, frem</w:t>
      </w:r>
      <w:r>
        <w:rPr>
          <w:i/>
          <w:iCs/>
        </w:rPr>
        <w:t xml:space="preserve"> </w:t>
      </w:r>
      <w:r w:rsidRPr="006344E6">
        <w:rPr>
          <w:i/>
          <w:iCs/>
        </w:rPr>
        <w:t xml:space="preserve">for antal ansatte, eller ved helt at undtage førtidspensionister som gruppe. </w:t>
      </w:r>
    </w:p>
    <w:p w14:paraId="0A7AB2C5" w14:textId="77777777" w:rsidR="0001240B" w:rsidRPr="00180362" w:rsidRDefault="0001240B" w:rsidP="0001240B">
      <w:pPr>
        <w:pStyle w:val="Overskrift3"/>
      </w:pPr>
      <w:bookmarkStart w:id="44" w:name="_Toc524513553"/>
      <w:r w:rsidRPr="00180362">
        <w:t>Administrationsforenkling af helbredstillægget</w:t>
      </w:r>
      <w:bookmarkEnd w:id="44"/>
    </w:p>
    <w:p w14:paraId="2028F8D9" w14:textId="77777777" w:rsidR="0001240B" w:rsidRDefault="0001240B" w:rsidP="0001240B">
      <w:pPr>
        <w:rPr>
          <w:szCs w:val="26"/>
        </w:rPr>
      </w:pPr>
      <w:r w:rsidRPr="00180362">
        <w:rPr>
          <w:szCs w:val="26"/>
        </w:rPr>
        <w:t>Helbredstillæget er en hjælp til pensionister til at dække udgifter til eksempelvis medicin, tandlæge, høreapparater,</w:t>
      </w:r>
      <w:r>
        <w:rPr>
          <w:szCs w:val="26"/>
        </w:rPr>
        <w:t xml:space="preserve"> </w:t>
      </w:r>
      <w:r w:rsidRPr="00180362">
        <w:rPr>
          <w:szCs w:val="26"/>
        </w:rPr>
        <w:t>fysioterapi, mv. Helbredstillægget indebærer i dag en forholdsvis tung administration. Landsdækkende</w:t>
      </w:r>
      <w:r>
        <w:rPr>
          <w:szCs w:val="26"/>
        </w:rPr>
        <w:t xml:space="preserve"> </w:t>
      </w:r>
      <w:r w:rsidRPr="00180362">
        <w:rPr>
          <w:szCs w:val="26"/>
        </w:rPr>
        <w:t>takster og bedre muligheder for automatiseret afregning kan gøre, at borgere bliver fri for at have udlæg</w:t>
      </w:r>
      <w:r>
        <w:rPr>
          <w:szCs w:val="26"/>
        </w:rPr>
        <w:t xml:space="preserve"> </w:t>
      </w:r>
      <w:r w:rsidRPr="00180362">
        <w:rPr>
          <w:szCs w:val="26"/>
        </w:rPr>
        <w:t>i forbindelse med sundhedsudgifter, der først senere betales tilbage.</w:t>
      </w:r>
      <w:r>
        <w:rPr>
          <w:szCs w:val="26"/>
        </w:rPr>
        <w:t xml:space="preserve"> </w:t>
      </w:r>
      <w:r w:rsidRPr="00180362">
        <w:rPr>
          <w:szCs w:val="26"/>
        </w:rPr>
        <w:t>Regeringen vil præsentere konkrete modeller for forenkling af administrationen på området.</w:t>
      </w:r>
    </w:p>
    <w:p w14:paraId="5EDF6908" w14:textId="77777777" w:rsidR="0001240B" w:rsidRDefault="0001240B" w:rsidP="0001240B">
      <w:pPr>
        <w:rPr>
          <w:szCs w:val="26"/>
        </w:rPr>
      </w:pPr>
    </w:p>
    <w:p w14:paraId="3BCD4DB2" w14:textId="77777777" w:rsidR="0001240B" w:rsidRPr="0001240B" w:rsidRDefault="0001240B" w:rsidP="0001240B">
      <w:pPr>
        <w:rPr>
          <w:i/>
          <w:szCs w:val="26"/>
        </w:rPr>
      </w:pPr>
      <w:r w:rsidRPr="0001240B">
        <w:rPr>
          <w:i/>
          <w:szCs w:val="26"/>
        </w:rPr>
        <w:t xml:space="preserve">DH er positiv over for forenklinger, men afventer mere konkrete forslag. </w:t>
      </w:r>
    </w:p>
    <w:p w14:paraId="35BF8CAC" w14:textId="1C6282E0" w:rsidR="006344E6" w:rsidRDefault="006344E6" w:rsidP="006344E6">
      <w:pPr>
        <w:pStyle w:val="Overskrift2"/>
      </w:pPr>
      <w:bookmarkStart w:id="45" w:name="_Toc524092749"/>
      <w:bookmarkStart w:id="46" w:name="_Toc524513554"/>
      <w:r>
        <w:lastRenderedPageBreak/>
        <w:t>Uddannelse</w:t>
      </w:r>
      <w:bookmarkEnd w:id="45"/>
      <w:bookmarkEnd w:id="46"/>
    </w:p>
    <w:p w14:paraId="6FB50A6D" w14:textId="77777777" w:rsidR="006344E6" w:rsidRDefault="006344E6" w:rsidP="006344E6">
      <w:pPr>
        <w:jc w:val="left"/>
        <w:rPr>
          <w:rFonts w:ascii="Geogrotesque W01" w:hAnsi="Geogrotesque W01"/>
          <w:color w:val="000000"/>
          <w:sz w:val="27"/>
          <w:szCs w:val="27"/>
        </w:rPr>
      </w:pPr>
      <w:bookmarkStart w:id="47" w:name="_Toc524092750"/>
      <w:bookmarkStart w:id="48" w:name="_Toc524513555"/>
      <w:r w:rsidRPr="006344E6">
        <w:rPr>
          <w:rStyle w:val="Overskrift3Tegn"/>
        </w:rPr>
        <w:t>Afbureaukratisering af specialpædagogisk støtte (SPS)</w:t>
      </w:r>
      <w:bookmarkEnd w:id="47"/>
      <w:bookmarkEnd w:id="48"/>
      <w:r w:rsidRPr="006344E6">
        <w:rPr>
          <w:rStyle w:val="Overskrift3Tegn"/>
        </w:rPr>
        <w:br/>
      </w:r>
      <w:r>
        <w:rPr>
          <w:rFonts w:ascii="Geogrotesque W01" w:hAnsi="Geogrotesque W01"/>
          <w:color w:val="000000"/>
          <w:sz w:val="27"/>
          <w:szCs w:val="27"/>
        </w:rPr>
        <w:t xml:space="preserve">Regeringen vil lette ungdomsuddannelsernes administrative byrde i forbindelse med ansøgning om og tildeling af støtte til elever med handicap. I forbindelse med udformning af en konkret model inddrages praktikere. Specialpædagogiske støtte (SPS) har til formål at sikre, at studerende med fysisk eller psykisk funktionsnedsættelse – uanset denne – kan gennemføre en ungdomsuddannelse i lighed med andre studerende. </w:t>
      </w:r>
    </w:p>
    <w:p w14:paraId="0F5DF8A1" w14:textId="77777777" w:rsidR="006344E6" w:rsidRDefault="006344E6" w:rsidP="006344E6">
      <w:pPr>
        <w:jc w:val="left"/>
        <w:rPr>
          <w:rFonts w:ascii="Geogrotesque W01" w:hAnsi="Geogrotesque W01"/>
          <w:color w:val="000000"/>
          <w:sz w:val="27"/>
          <w:szCs w:val="27"/>
        </w:rPr>
      </w:pPr>
    </w:p>
    <w:p w14:paraId="0A4396C2" w14:textId="1EDDB89A" w:rsidR="006344E6" w:rsidRPr="00C674D4" w:rsidRDefault="006344E6" w:rsidP="006344E6">
      <w:pPr>
        <w:jc w:val="left"/>
        <w:rPr>
          <w:rFonts w:ascii="Geogrotesque W01" w:hAnsi="Geogrotesque W01"/>
          <w:i/>
          <w:color w:val="000000"/>
          <w:sz w:val="27"/>
          <w:szCs w:val="27"/>
        </w:rPr>
      </w:pPr>
      <w:r w:rsidRPr="006344E6">
        <w:rPr>
          <w:rFonts w:ascii="Geogrotesque W01" w:hAnsi="Geogrotesque W01"/>
          <w:i/>
          <w:color w:val="000000"/>
          <w:sz w:val="27"/>
          <w:szCs w:val="27"/>
        </w:rPr>
        <w:t>DH noterer sig, at regeringen vil lette administrativt tunge sagsgange for uddannelsesinstitutionerne. Det er udmærket. For DH er det vigtigt, at elever med handicap på ungdomsuddannelser får tildelt den rette SPS hurtigt og smidigt.</w:t>
      </w:r>
    </w:p>
    <w:p w14:paraId="35916879" w14:textId="0EAB5FC8" w:rsidR="00184DB4" w:rsidRDefault="00184DB4" w:rsidP="00184DB4">
      <w:pPr>
        <w:pStyle w:val="Overskrift2"/>
      </w:pPr>
      <w:bookmarkStart w:id="49" w:name="_Toc524513556"/>
      <w:r>
        <w:t>Andet</w:t>
      </w:r>
      <w:bookmarkEnd w:id="49"/>
    </w:p>
    <w:p w14:paraId="6C1FA9CE" w14:textId="4FD83C62" w:rsidR="00184DB4" w:rsidRDefault="00184DB4" w:rsidP="00184DB4">
      <w:pPr>
        <w:pStyle w:val="Overskrift3"/>
      </w:pPr>
      <w:bookmarkStart w:id="50" w:name="_Toc524513557"/>
      <w:r>
        <w:t>Bedre buspassagerrettigheder</w:t>
      </w:r>
      <w:bookmarkEnd w:id="50"/>
    </w:p>
    <w:p w14:paraId="618A8084" w14:textId="3CC99BA1" w:rsidR="00184DB4" w:rsidRDefault="00184DB4" w:rsidP="00184DB4">
      <w:pPr>
        <w:jc w:val="left"/>
        <w:rPr>
          <w:lang w:eastAsia="en-US"/>
        </w:rPr>
      </w:pPr>
      <w:r>
        <w:rPr>
          <w:lang w:eastAsia="en-US"/>
        </w:rPr>
        <w:t>Trafikselskaberne har fastsat en række rettigheder for deres passagerer. Dog er der en synlig variation i disse rettigheder, hvilket gør det besværligt for passagererne at danne sig et overblik over rettighederne og dermed anvende dem.</w:t>
      </w:r>
    </w:p>
    <w:p w14:paraId="3D8E3B5C" w14:textId="47FFC78D" w:rsidR="00184DB4" w:rsidRDefault="00184DB4" w:rsidP="00184DB4">
      <w:pPr>
        <w:jc w:val="left"/>
        <w:rPr>
          <w:lang w:eastAsia="en-US"/>
        </w:rPr>
      </w:pPr>
      <w:r>
        <w:rPr>
          <w:lang w:eastAsia="en-US"/>
        </w:rPr>
        <w:t>Regeringen vil derfor sikre, at alle de regionale busselskaber giver deres passagerer de samme grundlæggende rettigheder, så man er stillet ens, uanset hvor i landet man som passager rejser med den kollektive bustrafik, og så det gøres gennemskueligt for de rejsende, hvilke passagerrettigheder de har.</w:t>
      </w:r>
    </w:p>
    <w:p w14:paraId="3A9746A9" w14:textId="356F02EC" w:rsidR="00184DB4" w:rsidRDefault="00184DB4" w:rsidP="00184DB4">
      <w:pPr>
        <w:jc w:val="left"/>
        <w:rPr>
          <w:lang w:eastAsia="en-US"/>
        </w:rPr>
      </w:pPr>
    </w:p>
    <w:p w14:paraId="7ECFD59F" w14:textId="463E779B" w:rsidR="00184DB4" w:rsidRDefault="00184DB4" w:rsidP="00184DB4">
      <w:pPr>
        <w:jc w:val="left"/>
        <w:rPr>
          <w:i/>
          <w:lang w:eastAsia="en-US"/>
        </w:rPr>
      </w:pPr>
      <w:r w:rsidRPr="00184DB4">
        <w:rPr>
          <w:i/>
          <w:lang w:eastAsia="en-US"/>
        </w:rPr>
        <w:t>DH</w:t>
      </w:r>
      <w:r>
        <w:rPr>
          <w:i/>
          <w:lang w:eastAsia="en-US"/>
        </w:rPr>
        <w:t xml:space="preserve"> er positiv over for, at alle buspassagerer får samme grundlæggende rettigheder. Det er vigtigt, at man også sikrer de evt. særlige forhold, der gør sig gældende for buspassagerer med handicap. Det kan f.eks. være muligheden for at tage en tilgængelig taxa i forbindelse med forsinkelser.</w:t>
      </w:r>
    </w:p>
    <w:p w14:paraId="657F5511" w14:textId="25143853" w:rsidR="00184DB4" w:rsidRDefault="00184DB4" w:rsidP="00184DB4">
      <w:pPr>
        <w:jc w:val="left"/>
        <w:rPr>
          <w:i/>
          <w:lang w:eastAsia="en-US"/>
        </w:rPr>
      </w:pPr>
    </w:p>
    <w:p w14:paraId="60F56A74" w14:textId="77777777" w:rsidR="00184DB4" w:rsidRPr="006344E6" w:rsidRDefault="00184DB4" w:rsidP="00184DB4">
      <w:pPr>
        <w:pStyle w:val="Overskrift3"/>
      </w:pPr>
      <w:bookmarkStart w:id="51" w:name="_Toc524092748"/>
      <w:bookmarkStart w:id="52" w:name="_Toc524513558"/>
      <w:r w:rsidRPr="006344E6">
        <w:t>Enkel adgang til tolkning for borgere med hørehandicap</w:t>
      </w:r>
      <w:bookmarkEnd w:id="51"/>
      <w:bookmarkEnd w:id="52"/>
    </w:p>
    <w:p w14:paraId="4201CACB" w14:textId="77777777" w:rsidR="00184DB4" w:rsidRPr="0001240B" w:rsidRDefault="00184DB4" w:rsidP="00184DB4">
      <w:pPr>
        <w:jc w:val="left"/>
        <w:rPr>
          <w:szCs w:val="26"/>
        </w:rPr>
      </w:pPr>
      <w:r w:rsidRPr="006344E6">
        <w:t>Regeringen vil skabe én indgang for borgere med hørehandicap, som har behov for tolk</w:t>
      </w:r>
      <w:r>
        <w:t xml:space="preserve">, </w:t>
      </w:r>
      <w:r>
        <w:rPr>
          <w:szCs w:val="26"/>
        </w:rPr>
        <w:t xml:space="preserve">så borgere med hørehandicap sikres en enkel, smidig og bedre adgang til tolkning på tværs af sektorer. </w:t>
      </w:r>
      <w:r w:rsidRPr="006344E6">
        <w:t xml:space="preserve">I dag er tolk underlagt sektoransvaret og fordelt mellem kommune, stat og regioner. </w:t>
      </w:r>
    </w:p>
    <w:p w14:paraId="59CDA1BD" w14:textId="77777777" w:rsidR="00184DB4" w:rsidRPr="006344E6" w:rsidRDefault="00184DB4" w:rsidP="00184DB4"/>
    <w:p w14:paraId="40C2C140" w14:textId="77777777" w:rsidR="00184DB4" w:rsidRDefault="00184DB4" w:rsidP="00184DB4">
      <w:pPr>
        <w:rPr>
          <w:i/>
          <w:iCs/>
        </w:rPr>
      </w:pPr>
      <w:r w:rsidRPr="006344E6">
        <w:rPr>
          <w:i/>
          <w:iCs/>
        </w:rPr>
        <w:t>DH finder det positivt, at regeringen vil skabe et mere enkelt system for tildeling af tolk. En national adgang er også et ønske fra DHs medlemsorganisationer.</w:t>
      </w:r>
    </w:p>
    <w:p w14:paraId="13C19FD2" w14:textId="77777777" w:rsidR="00184DB4" w:rsidRPr="00184DB4" w:rsidRDefault="00184DB4" w:rsidP="00184DB4">
      <w:pPr>
        <w:jc w:val="left"/>
        <w:rPr>
          <w:i/>
          <w:lang w:eastAsia="en-US"/>
        </w:rPr>
      </w:pPr>
    </w:p>
    <w:sectPr w:rsidR="00184DB4" w:rsidRPr="00184DB4"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64DA" w14:textId="77777777" w:rsidR="008E0CDA" w:rsidRDefault="008E0CDA">
      <w:r>
        <w:separator/>
      </w:r>
    </w:p>
  </w:endnote>
  <w:endnote w:type="continuationSeparator" w:id="0">
    <w:p w14:paraId="1412255C" w14:textId="77777777" w:rsidR="008E0CDA" w:rsidRDefault="008E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grotesque W0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8" w14:textId="77777777" w:rsidR="00F076A9" w:rsidRDefault="009819B2"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66A6589"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A" w14:textId="320A612F" w:rsidR="00F076A9" w:rsidRDefault="009819B2"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305EF">
      <w:rPr>
        <w:rStyle w:val="Sidetal"/>
        <w:rFonts w:eastAsiaTheme="majorEastAsia"/>
        <w:noProof/>
      </w:rPr>
      <w:t>2</w:t>
    </w:r>
    <w:r>
      <w:rPr>
        <w:rStyle w:val="Sidetal"/>
        <w:rFonts w:eastAsiaTheme="majorEastAsia"/>
      </w:rPr>
      <w:fldChar w:fldCharType="end"/>
    </w:r>
  </w:p>
  <w:p w14:paraId="266A658B" w14:textId="77777777" w:rsidR="00F076A9" w:rsidRDefault="00F076A9">
    <w:pPr>
      <w:pStyle w:val="Sidefod"/>
      <w:framePr w:wrap="around" w:vAnchor="text" w:hAnchor="margin" w:xAlign="right" w:y="1"/>
      <w:rPr>
        <w:rStyle w:val="Sidetal"/>
        <w:rFonts w:eastAsiaTheme="majorEastAsia"/>
      </w:rPr>
    </w:pPr>
  </w:p>
  <w:p w14:paraId="266A658C"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E"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95C1" w14:textId="77777777" w:rsidR="008E0CDA" w:rsidRDefault="008E0CDA">
      <w:r>
        <w:separator/>
      </w:r>
    </w:p>
  </w:footnote>
  <w:footnote w:type="continuationSeparator" w:id="0">
    <w:p w14:paraId="71C1950A" w14:textId="77777777" w:rsidR="008E0CDA" w:rsidRDefault="008E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5" w14:textId="77777777" w:rsidR="00F076A9" w:rsidRDefault="009819B2">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66A6586"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7"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58D" w14:textId="77777777" w:rsidR="00F20012" w:rsidRDefault="009819B2">
    <w:pPr>
      <w:pStyle w:val="Sidehoved"/>
    </w:pPr>
    <w:r>
      <w:rPr>
        <w:noProof/>
        <w:sz w:val="24"/>
        <w:szCs w:val="24"/>
      </w:rPr>
      <w:drawing>
        <wp:anchor distT="0" distB="0" distL="114300" distR="114300" simplePos="0" relativeHeight="251658240" behindDoc="0" locked="0" layoutInCell="1" allowOverlap="1" wp14:anchorId="266A658F" wp14:editId="266A6590">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104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80931"/>
    <w:multiLevelType w:val="hybridMultilevel"/>
    <w:tmpl w:val="B544A8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1240B"/>
    <w:rsid w:val="00055F86"/>
    <w:rsid w:val="000651EF"/>
    <w:rsid w:val="001219B7"/>
    <w:rsid w:val="00184DB4"/>
    <w:rsid w:val="001851A3"/>
    <w:rsid w:val="0018568B"/>
    <w:rsid w:val="00224498"/>
    <w:rsid w:val="002305EF"/>
    <w:rsid w:val="002E6939"/>
    <w:rsid w:val="003B2186"/>
    <w:rsid w:val="004F44E6"/>
    <w:rsid w:val="006344E6"/>
    <w:rsid w:val="006E06F1"/>
    <w:rsid w:val="00837245"/>
    <w:rsid w:val="0086356F"/>
    <w:rsid w:val="008733D7"/>
    <w:rsid w:val="008E0CDA"/>
    <w:rsid w:val="008F7286"/>
    <w:rsid w:val="0090614E"/>
    <w:rsid w:val="00910B09"/>
    <w:rsid w:val="0091390D"/>
    <w:rsid w:val="009819B2"/>
    <w:rsid w:val="009C7975"/>
    <w:rsid w:val="00B41148"/>
    <w:rsid w:val="00B80027"/>
    <w:rsid w:val="00BC551E"/>
    <w:rsid w:val="00BC6FFA"/>
    <w:rsid w:val="00C674D4"/>
    <w:rsid w:val="00CE7183"/>
    <w:rsid w:val="00D86796"/>
    <w:rsid w:val="00DC39F3"/>
    <w:rsid w:val="00E31D37"/>
    <w:rsid w:val="00F076A9"/>
    <w:rsid w:val="00F2001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D86796"/>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D86796"/>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Strk">
    <w:name w:val="Strong"/>
    <w:basedOn w:val="Standardskrifttypeiafsnit"/>
    <w:uiPriority w:val="22"/>
    <w:qFormat/>
    <w:rsid w:val="00D86796"/>
    <w:rPr>
      <w:b/>
      <w:bCs/>
    </w:rPr>
  </w:style>
  <w:style w:type="paragraph" w:styleId="Listeafsnit">
    <w:name w:val="List Paragraph"/>
    <w:basedOn w:val="Normal"/>
    <w:uiPriority w:val="34"/>
    <w:qFormat/>
    <w:rsid w:val="00D86796"/>
    <w:pPr>
      <w:ind w:left="720"/>
      <w:contextualSpacing/>
    </w:pPr>
  </w:style>
  <w:style w:type="paragraph" w:styleId="Indholdsfortegnelse2">
    <w:name w:val="toc 2"/>
    <w:basedOn w:val="Normal"/>
    <w:next w:val="Normal"/>
    <w:autoRedefine/>
    <w:uiPriority w:val="39"/>
    <w:unhideWhenUsed/>
    <w:rsid w:val="006344E6"/>
    <w:pPr>
      <w:spacing w:before="120"/>
      <w:ind w:left="260"/>
      <w:jc w:val="left"/>
    </w:pPr>
    <w:rPr>
      <w:rFonts w:asciiTheme="minorHAnsi" w:hAnsiTheme="minorHAnsi" w:cstheme="minorHAnsi"/>
      <w:b/>
      <w:bCs/>
      <w:sz w:val="22"/>
      <w:szCs w:val="22"/>
    </w:rPr>
  </w:style>
  <w:style w:type="paragraph" w:styleId="Indholdsfortegnelse3">
    <w:name w:val="toc 3"/>
    <w:basedOn w:val="Normal"/>
    <w:next w:val="Normal"/>
    <w:autoRedefine/>
    <w:uiPriority w:val="39"/>
    <w:unhideWhenUsed/>
    <w:rsid w:val="006344E6"/>
    <w:pPr>
      <w:ind w:left="520"/>
      <w:jc w:val="left"/>
    </w:pPr>
    <w:rPr>
      <w:rFonts w:asciiTheme="minorHAnsi" w:hAnsiTheme="minorHAnsi" w:cstheme="minorHAnsi"/>
      <w:sz w:val="20"/>
    </w:rPr>
  </w:style>
  <w:style w:type="character" w:styleId="Hyperlink">
    <w:name w:val="Hyperlink"/>
    <w:basedOn w:val="Standardskrifttypeiafsnit"/>
    <w:uiPriority w:val="99"/>
    <w:unhideWhenUsed/>
    <w:rsid w:val="006344E6"/>
    <w:rPr>
      <w:color w:val="0000FF" w:themeColor="hyperlink"/>
      <w:u w:val="single"/>
    </w:rPr>
  </w:style>
  <w:style w:type="paragraph" w:styleId="Overskrift">
    <w:name w:val="TOC Heading"/>
    <w:basedOn w:val="Overskrift1"/>
    <w:next w:val="Normal"/>
    <w:uiPriority w:val="39"/>
    <w:unhideWhenUsed/>
    <w:qFormat/>
    <w:rsid w:val="006344E6"/>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6344E6"/>
    <w:pPr>
      <w:spacing w:before="120"/>
      <w:jc w:val="left"/>
    </w:pPr>
    <w:rPr>
      <w:rFonts w:asciiTheme="minorHAnsi" w:hAnsiTheme="minorHAnsi" w:cstheme="minorHAnsi"/>
      <w:b/>
      <w:bCs/>
      <w:i/>
      <w:iCs/>
      <w:sz w:val="24"/>
      <w:szCs w:val="24"/>
    </w:rPr>
  </w:style>
  <w:style w:type="paragraph" w:styleId="Indholdsfortegnelse4">
    <w:name w:val="toc 4"/>
    <w:basedOn w:val="Normal"/>
    <w:next w:val="Normal"/>
    <w:autoRedefine/>
    <w:uiPriority w:val="39"/>
    <w:unhideWhenUsed/>
    <w:rsid w:val="006344E6"/>
    <w:pPr>
      <w:ind w:left="780"/>
      <w:jc w:val="left"/>
    </w:pPr>
    <w:rPr>
      <w:rFonts w:asciiTheme="minorHAnsi" w:hAnsiTheme="minorHAnsi" w:cstheme="minorHAnsi"/>
      <w:sz w:val="20"/>
    </w:rPr>
  </w:style>
  <w:style w:type="paragraph" w:styleId="Indholdsfortegnelse5">
    <w:name w:val="toc 5"/>
    <w:basedOn w:val="Normal"/>
    <w:next w:val="Normal"/>
    <w:autoRedefine/>
    <w:uiPriority w:val="39"/>
    <w:unhideWhenUsed/>
    <w:rsid w:val="006344E6"/>
    <w:pPr>
      <w:ind w:left="1040"/>
      <w:jc w:val="left"/>
    </w:pPr>
    <w:rPr>
      <w:rFonts w:asciiTheme="minorHAnsi" w:hAnsiTheme="minorHAnsi" w:cstheme="minorHAnsi"/>
      <w:sz w:val="20"/>
    </w:rPr>
  </w:style>
  <w:style w:type="paragraph" w:styleId="Indholdsfortegnelse6">
    <w:name w:val="toc 6"/>
    <w:basedOn w:val="Normal"/>
    <w:next w:val="Normal"/>
    <w:autoRedefine/>
    <w:uiPriority w:val="39"/>
    <w:unhideWhenUsed/>
    <w:rsid w:val="006344E6"/>
    <w:pPr>
      <w:ind w:left="1300"/>
      <w:jc w:val="left"/>
    </w:pPr>
    <w:rPr>
      <w:rFonts w:asciiTheme="minorHAnsi" w:hAnsiTheme="minorHAnsi" w:cstheme="minorHAnsi"/>
      <w:sz w:val="20"/>
    </w:rPr>
  </w:style>
  <w:style w:type="paragraph" w:styleId="Indholdsfortegnelse7">
    <w:name w:val="toc 7"/>
    <w:basedOn w:val="Normal"/>
    <w:next w:val="Normal"/>
    <w:autoRedefine/>
    <w:uiPriority w:val="39"/>
    <w:unhideWhenUsed/>
    <w:rsid w:val="006344E6"/>
    <w:pPr>
      <w:ind w:left="1560"/>
      <w:jc w:val="left"/>
    </w:pPr>
    <w:rPr>
      <w:rFonts w:asciiTheme="minorHAnsi" w:hAnsiTheme="minorHAnsi" w:cstheme="minorHAnsi"/>
      <w:sz w:val="20"/>
    </w:rPr>
  </w:style>
  <w:style w:type="paragraph" w:styleId="Indholdsfortegnelse8">
    <w:name w:val="toc 8"/>
    <w:basedOn w:val="Normal"/>
    <w:next w:val="Normal"/>
    <w:autoRedefine/>
    <w:uiPriority w:val="39"/>
    <w:unhideWhenUsed/>
    <w:rsid w:val="006344E6"/>
    <w:pPr>
      <w:ind w:left="1820"/>
      <w:jc w:val="left"/>
    </w:pPr>
    <w:rPr>
      <w:rFonts w:asciiTheme="minorHAnsi" w:hAnsiTheme="minorHAnsi" w:cstheme="minorHAnsi"/>
      <w:sz w:val="20"/>
    </w:rPr>
  </w:style>
  <w:style w:type="paragraph" w:styleId="Indholdsfortegnelse9">
    <w:name w:val="toc 9"/>
    <w:basedOn w:val="Normal"/>
    <w:next w:val="Normal"/>
    <w:autoRedefine/>
    <w:uiPriority w:val="39"/>
    <w:unhideWhenUsed/>
    <w:rsid w:val="006344E6"/>
    <w:pPr>
      <w:ind w:left="2080"/>
      <w:jc w:val="left"/>
    </w:pPr>
    <w:rPr>
      <w:rFonts w:asciiTheme="minorHAnsi" w:hAnsiTheme="minorHAnsi" w:cs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D86796"/>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D86796"/>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Strk">
    <w:name w:val="Strong"/>
    <w:basedOn w:val="Standardskrifttypeiafsnit"/>
    <w:uiPriority w:val="22"/>
    <w:qFormat/>
    <w:rsid w:val="00D86796"/>
    <w:rPr>
      <w:b/>
      <w:bCs/>
    </w:rPr>
  </w:style>
  <w:style w:type="paragraph" w:styleId="Listeafsnit">
    <w:name w:val="List Paragraph"/>
    <w:basedOn w:val="Normal"/>
    <w:uiPriority w:val="34"/>
    <w:qFormat/>
    <w:rsid w:val="00D86796"/>
    <w:pPr>
      <w:ind w:left="720"/>
      <w:contextualSpacing/>
    </w:pPr>
  </w:style>
  <w:style w:type="paragraph" w:styleId="Indholdsfortegnelse2">
    <w:name w:val="toc 2"/>
    <w:basedOn w:val="Normal"/>
    <w:next w:val="Normal"/>
    <w:autoRedefine/>
    <w:uiPriority w:val="39"/>
    <w:unhideWhenUsed/>
    <w:rsid w:val="006344E6"/>
    <w:pPr>
      <w:spacing w:before="120"/>
      <w:ind w:left="260"/>
      <w:jc w:val="left"/>
    </w:pPr>
    <w:rPr>
      <w:rFonts w:asciiTheme="minorHAnsi" w:hAnsiTheme="minorHAnsi" w:cstheme="minorHAnsi"/>
      <w:b/>
      <w:bCs/>
      <w:sz w:val="22"/>
      <w:szCs w:val="22"/>
    </w:rPr>
  </w:style>
  <w:style w:type="paragraph" w:styleId="Indholdsfortegnelse3">
    <w:name w:val="toc 3"/>
    <w:basedOn w:val="Normal"/>
    <w:next w:val="Normal"/>
    <w:autoRedefine/>
    <w:uiPriority w:val="39"/>
    <w:unhideWhenUsed/>
    <w:rsid w:val="006344E6"/>
    <w:pPr>
      <w:ind w:left="520"/>
      <w:jc w:val="left"/>
    </w:pPr>
    <w:rPr>
      <w:rFonts w:asciiTheme="minorHAnsi" w:hAnsiTheme="minorHAnsi" w:cstheme="minorHAnsi"/>
      <w:sz w:val="20"/>
    </w:rPr>
  </w:style>
  <w:style w:type="character" w:styleId="Hyperlink">
    <w:name w:val="Hyperlink"/>
    <w:basedOn w:val="Standardskrifttypeiafsnit"/>
    <w:uiPriority w:val="99"/>
    <w:unhideWhenUsed/>
    <w:rsid w:val="006344E6"/>
    <w:rPr>
      <w:color w:val="0000FF" w:themeColor="hyperlink"/>
      <w:u w:val="single"/>
    </w:rPr>
  </w:style>
  <w:style w:type="paragraph" w:styleId="Overskrift">
    <w:name w:val="TOC Heading"/>
    <w:basedOn w:val="Overskrift1"/>
    <w:next w:val="Normal"/>
    <w:uiPriority w:val="39"/>
    <w:unhideWhenUsed/>
    <w:qFormat/>
    <w:rsid w:val="006344E6"/>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6344E6"/>
    <w:pPr>
      <w:spacing w:before="120"/>
      <w:jc w:val="left"/>
    </w:pPr>
    <w:rPr>
      <w:rFonts w:asciiTheme="minorHAnsi" w:hAnsiTheme="minorHAnsi" w:cstheme="minorHAnsi"/>
      <w:b/>
      <w:bCs/>
      <w:i/>
      <w:iCs/>
      <w:sz w:val="24"/>
      <w:szCs w:val="24"/>
    </w:rPr>
  </w:style>
  <w:style w:type="paragraph" w:styleId="Indholdsfortegnelse4">
    <w:name w:val="toc 4"/>
    <w:basedOn w:val="Normal"/>
    <w:next w:val="Normal"/>
    <w:autoRedefine/>
    <w:uiPriority w:val="39"/>
    <w:unhideWhenUsed/>
    <w:rsid w:val="006344E6"/>
    <w:pPr>
      <w:ind w:left="780"/>
      <w:jc w:val="left"/>
    </w:pPr>
    <w:rPr>
      <w:rFonts w:asciiTheme="minorHAnsi" w:hAnsiTheme="minorHAnsi" w:cstheme="minorHAnsi"/>
      <w:sz w:val="20"/>
    </w:rPr>
  </w:style>
  <w:style w:type="paragraph" w:styleId="Indholdsfortegnelse5">
    <w:name w:val="toc 5"/>
    <w:basedOn w:val="Normal"/>
    <w:next w:val="Normal"/>
    <w:autoRedefine/>
    <w:uiPriority w:val="39"/>
    <w:unhideWhenUsed/>
    <w:rsid w:val="006344E6"/>
    <w:pPr>
      <w:ind w:left="1040"/>
      <w:jc w:val="left"/>
    </w:pPr>
    <w:rPr>
      <w:rFonts w:asciiTheme="minorHAnsi" w:hAnsiTheme="minorHAnsi" w:cstheme="minorHAnsi"/>
      <w:sz w:val="20"/>
    </w:rPr>
  </w:style>
  <w:style w:type="paragraph" w:styleId="Indholdsfortegnelse6">
    <w:name w:val="toc 6"/>
    <w:basedOn w:val="Normal"/>
    <w:next w:val="Normal"/>
    <w:autoRedefine/>
    <w:uiPriority w:val="39"/>
    <w:unhideWhenUsed/>
    <w:rsid w:val="006344E6"/>
    <w:pPr>
      <w:ind w:left="1300"/>
      <w:jc w:val="left"/>
    </w:pPr>
    <w:rPr>
      <w:rFonts w:asciiTheme="minorHAnsi" w:hAnsiTheme="minorHAnsi" w:cstheme="minorHAnsi"/>
      <w:sz w:val="20"/>
    </w:rPr>
  </w:style>
  <w:style w:type="paragraph" w:styleId="Indholdsfortegnelse7">
    <w:name w:val="toc 7"/>
    <w:basedOn w:val="Normal"/>
    <w:next w:val="Normal"/>
    <w:autoRedefine/>
    <w:uiPriority w:val="39"/>
    <w:unhideWhenUsed/>
    <w:rsid w:val="006344E6"/>
    <w:pPr>
      <w:ind w:left="1560"/>
      <w:jc w:val="left"/>
    </w:pPr>
    <w:rPr>
      <w:rFonts w:asciiTheme="minorHAnsi" w:hAnsiTheme="minorHAnsi" w:cstheme="minorHAnsi"/>
      <w:sz w:val="20"/>
    </w:rPr>
  </w:style>
  <w:style w:type="paragraph" w:styleId="Indholdsfortegnelse8">
    <w:name w:val="toc 8"/>
    <w:basedOn w:val="Normal"/>
    <w:next w:val="Normal"/>
    <w:autoRedefine/>
    <w:uiPriority w:val="39"/>
    <w:unhideWhenUsed/>
    <w:rsid w:val="006344E6"/>
    <w:pPr>
      <w:ind w:left="1820"/>
      <w:jc w:val="left"/>
    </w:pPr>
    <w:rPr>
      <w:rFonts w:asciiTheme="minorHAnsi" w:hAnsiTheme="minorHAnsi" w:cstheme="minorHAnsi"/>
      <w:sz w:val="20"/>
    </w:rPr>
  </w:style>
  <w:style w:type="paragraph" w:styleId="Indholdsfortegnelse9">
    <w:name w:val="toc 9"/>
    <w:basedOn w:val="Normal"/>
    <w:next w:val="Normal"/>
    <w:autoRedefine/>
    <w:uiPriority w:val="39"/>
    <w:unhideWhenUsed/>
    <w:rsid w:val="006344E6"/>
    <w:pPr>
      <w:ind w:left="208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5771">
      <w:bodyDiv w:val="1"/>
      <w:marLeft w:val="0"/>
      <w:marRight w:val="0"/>
      <w:marTop w:val="0"/>
      <w:marBottom w:val="0"/>
      <w:divBdr>
        <w:top w:val="none" w:sz="0" w:space="0" w:color="auto"/>
        <w:left w:val="none" w:sz="0" w:space="0" w:color="auto"/>
        <w:bottom w:val="none" w:sz="0" w:space="0" w:color="auto"/>
        <w:right w:val="none" w:sz="0" w:space="0" w:color="auto"/>
      </w:divBdr>
      <w:divsChild>
        <w:div w:id="1891071617">
          <w:marLeft w:val="0"/>
          <w:marRight w:val="0"/>
          <w:marTop w:val="0"/>
          <w:marBottom w:val="0"/>
          <w:divBdr>
            <w:top w:val="none" w:sz="0" w:space="0" w:color="auto"/>
            <w:left w:val="none" w:sz="0" w:space="0" w:color="auto"/>
            <w:bottom w:val="none" w:sz="0" w:space="0" w:color="auto"/>
            <w:right w:val="none" w:sz="0" w:space="0" w:color="auto"/>
          </w:divBdr>
          <w:divsChild>
            <w:div w:id="2063089404">
              <w:marLeft w:val="0"/>
              <w:marRight w:val="0"/>
              <w:marTop w:val="0"/>
              <w:marBottom w:val="0"/>
              <w:divBdr>
                <w:top w:val="none" w:sz="0" w:space="0" w:color="auto"/>
                <w:left w:val="none" w:sz="0" w:space="0" w:color="auto"/>
                <w:bottom w:val="none" w:sz="0" w:space="0" w:color="auto"/>
                <w:right w:val="none" w:sz="0" w:space="0" w:color="auto"/>
              </w:divBdr>
              <w:divsChild>
                <w:div w:id="1622569655">
                  <w:marLeft w:val="0"/>
                  <w:marRight w:val="0"/>
                  <w:marTop w:val="0"/>
                  <w:marBottom w:val="0"/>
                  <w:divBdr>
                    <w:top w:val="none" w:sz="0" w:space="0" w:color="auto"/>
                    <w:left w:val="none" w:sz="0" w:space="0" w:color="auto"/>
                    <w:bottom w:val="none" w:sz="0" w:space="0" w:color="auto"/>
                    <w:right w:val="none" w:sz="0" w:space="0" w:color="auto"/>
                  </w:divBdr>
                  <w:divsChild>
                    <w:div w:id="891309734">
                      <w:marLeft w:val="0"/>
                      <w:marRight w:val="0"/>
                      <w:marTop w:val="0"/>
                      <w:marBottom w:val="0"/>
                      <w:divBdr>
                        <w:top w:val="none" w:sz="0" w:space="0" w:color="auto"/>
                        <w:left w:val="none" w:sz="0" w:space="0" w:color="auto"/>
                        <w:bottom w:val="none" w:sz="0" w:space="0" w:color="auto"/>
                        <w:right w:val="none" w:sz="0" w:space="0" w:color="auto"/>
                      </w:divBdr>
                      <w:divsChild>
                        <w:div w:id="2101366214">
                          <w:marLeft w:val="0"/>
                          <w:marRight w:val="0"/>
                          <w:marTop w:val="0"/>
                          <w:marBottom w:val="0"/>
                          <w:divBdr>
                            <w:top w:val="none" w:sz="0" w:space="0" w:color="auto"/>
                            <w:left w:val="none" w:sz="0" w:space="0" w:color="auto"/>
                            <w:bottom w:val="none" w:sz="0" w:space="0" w:color="auto"/>
                            <w:right w:val="none" w:sz="0" w:space="0" w:color="auto"/>
                          </w:divBdr>
                          <w:divsChild>
                            <w:div w:id="1114402647">
                              <w:marLeft w:val="0"/>
                              <w:marRight w:val="0"/>
                              <w:marTop w:val="0"/>
                              <w:marBottom w:val="0"/>
                              <w:divBdr>
                                <w:top w:val="none" w:sz="0" w:space="0" w:color="auto"/>
                                <w:left w:val="none" w:sz="0" w:space="0" w:color="auto"/>
                                <w:bottom w:val="none" w:sz="0" w:space="0" w:color="auto"/>
                                <w:right w:val="none" w:sz="0" w:space="0" w:color="auto"/>
                              </w:divBdr>
                              <w:divsChild>
                                <w:div w:id="1111626338">
                                  <w:marLeft w:val="0"/>
                                  <w:marRight w:val="0"/>
                                  <w:marTop w:val="0"/>
                                  <w:marBottom w:val="0"/>
                                  <w:divBdr>
                                    <w:top w:val="none" w:sz="0" w:space="0" w:color="auto"/>
                                    <w:left w:val="none" w:sz="0" w:space="0" w:color="auto"/>
                                    <w:bottom w:val="none" w:sz="0" w:space="0" w:color="auto"/>
                                    <w:right w:val="none" w:sz="0" w:space="0" w:color="auto"/>
                                  </w:divBdr>
                                  <w:divsChild>
                                    <w:div w:id="826478825">
                                      <w:marLeft w:val="0"/>
                                      <w:marRight w:val="0"/>
                                      <w:marTop w:val="0"/>
                                      <w:marBottom w:val="0"/>
                                      <w:divBdr>
                                        <w:top w:val="none" w:sz="0" w:space="0" w:color="auto"/>
                                        <w:left w:val="none" w:sz="0" w:space="0" w:color="auto"/>
                                        <w:bottom w:val="none" w:sz="0" w:space="0" w:color="auto"/>
                                        <w:right w:val="none" w:sz="0" w:space="0" w:color="auto"/>
                                      </w:divBdr>
                                      <w:divsChild>
                                        <w:div w:id="1722435694">
                                          <w:marLeft w:val="0"/>
                                          <w:marRight w:val="0"/>
                                          <w:marTop w:val="0"/>
                                          <w:marBottom w:val="0"/>
                                          <w:divBdr>
                                            <w:top w:val="none" w:sz="0" w:space="0" w:color="auto"/>
                                            <w:left w:val="none" w:sz="0" w:space="0" w:color="auto"/>
                                            <w:bottom w:val="none" w:sz="0" w:space="0" w:color="auto"/>
                                            <w:right w:val="none" w:sz="0" w:space="0" w:color="auto"/>
                                          </w:divBdr>
                                          <w:divsChild>
                                            <w:div w:id="364447350">
                                              <w:marLeft w:val="0"/>
                                              <w:marRight w:val="0"/>
                                              <w:marTop w:val="0"/>
                                              <w:marBottom w:val="0"/>
                                              <w:divBdr>
                                                <w:top w:val="none" w:sz="0" w:space="0" w:color="auto"/>
                                                <w:left w:val="none" w:sz="0" w:space="0" w:color="auto"/>
                                                <w:bottom w:val="none" w:sz="0" w:space="0" w:color="auto"/>
                                                <w:right w:val="none" w:sz="0" w:space="0" w:color="auto"/>
                                              </w:divBdr>
                                              <w:divsChild>
                                                <w:div w:id="1715229102">
                                                  <w:marLeft w:val="0"/>
                                                  <w:marRight w:val="0"/>
                                                  <w:marTop w:val="0"/>
                                                  <w:marBottom w:val="0"/>
                                                  <w:divBdr>
                                                    <w:top w:val="none" w:sz="0" w:space="0" w:color="E6E7EB"/>
                                                    <w:left w:val="none" w:sz="0" w:space="0" w:color="E6E7EB"/>
                                                    <w:bottom w:val="single" w:sz="24" w:space="0" w:color="E6E7EB"/>
                                                    <w:right w:val="none" w:sz="0" w:space="0" w:color="E6E7EB"/>
                                                  </w:divBdr>
                                                </w:div>
                                              </w:divsChild>
                                            </w:div>
                                          </w:divsChild>
                                        </w:div>
                                      </w:divsChild>
                                    </w:div>
                                  </w:divsChild>
                                </w:div>
                              </w:divsChild>
                            </w:div>
                          </w:divsChild>
                        </w:div>
                      </w:divsChild>
                    </w:div>
                  </w:divsChild>
                </w:div>
              </w:divsChild>
            </w:div>
          </w:divsChild>
        </w:div>
      </w:divsChild>
    </w:div>
    <w:div w:id="1742632122">
      <w:bodyDiv w:val="1"/>
      <w:marLeft w:val="0"/>
      <w:marRight w:val="0"/>
      <w:marTop w:val="0"/>
      <w:marBottom w:val="0"/>
      <w:divBdr>
        <w:top w:val="none" w:sz="0" w:space="0" w:color="auto"/>
        <w:left w:val="none" w:sz="0" w:space="0" w:color="auto"/>
        <w:bottom w:val="none" w:sz="0" w:space="0" w:color="auto"/>
        <w:right w:val="none" w:sz="0" w:space="0" w:color="auto"/>
      </w:divBdr>
    </w:div>
    <w:div w:id="1778133397">
      <w:bodyDiv w:val="1"/>
      <w:marLeft w:val="0"/>
      <w:marRight w:val="0"/>
      <w:marTop w:val="0"/>
      <w:marBottom w:val="0"/>
      <w:divBdr>
        <w:top w:val="none" w:sz="0" w:space="0" w:color="auto"/>
        <w:left w:val="none" w:sz="0" w:space="0" w:color="auto"/>
        <w:bottom w:val="none" w:sz="0" w:space="0" w:color="auto"/>
        <w:right w:val="none" w:sz="0" w:space="0" w:color="auto"/>
      </w:divBdr>
    </w:div>
    <w:div w:id="1798177828">
      <w:bodyDiv w:val="1"/>
      <w:marLeft w:val="0"/>
      <w:marRight w:val="0"/>
      <w:marTop w:val="0"/>
      <w:marBottom w:val="0"/>
      <w:divBdr>
        <w:top w:val="none" w:sz="0" w:space="0" w:color="auto"/>
        <w:left w:val="none" w:sz="0" w:space="0" w:color="auto"/>
        <w:bottom w:val="none" w:sz="0" w:space="0" w:color="auto"/>
        <w:right w:val="none" w:sz="0" w:space="0" w:color="auto"/>
      </w:divBdr>
    </w:div>
    <w:div w:id="1968661959">
      <w:bodyDiv w:val="1"/>
      <w:marLeft w:val="0"/>
      <w:marRight w:val="0"/>
      <w:marTop w:val="0"/>
      <w:marBottom w:val="0"/>
      <w:divBdr>
        <w:top w:val="none" w:sz="0" w:space="0" w:color="auto"/>
        <w:left w:val="none" w:sz="0" w:space="0" w:color="auto"/>
        <w:bottom w:val="none" w:sz="0" w:space="0" w:color="auto"/>
        <w:right w:val="none" w:sz="0" w:space="0" w:color="auto"/>
      </w:divBdr>
    </w:div>
    <w:div w:id="20633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16BD686733A41A7232C569F11C50A" ma:contentTypeVersion="0" ma:contentTypeDescription="Create a new document." ma:contentTypeScope="" ma:versionID="237dc0b0f91318cc0df1c41bb16382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33E3-A501-49AC-97F9-6EBE26A7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1BBD3-74FD-4947-B5DE-EB14BFB4F9DE}">
  <ds:schemaRefs>
    <ds:schemaRef ds:uri="http://schemas.microsoft.com/sharepoint/v3/contenttype/forms"/>
  </ds:schemaRefs>
</ds:datastoreItem>
</file>

<file path=customXml/itemProps3.xml><?xml version="1.0" encoding="utf-8"?>
<ds:datastoreItem xmlns:ds="http://schemas.openxmlformats.org/officeDocument/2006/customXml" ds:itemID="{619BBA35-62D6-4331-9450-7BA7097835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2D481-18F3-427C-BA3C-0E36963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2173</Words>
  <Characters>13261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Kristine Grove Sørensen</cp:lastModifiedBy>
  <cp:revision>2</cp:revision>
  <dcterms:created xsi:type="dcterms:W3CDTF">2018-09-13T11:00:00Z</dcterms:created>
  <dcterms:modified xsi:type="dcterms:W3CDTF">2018-09-13T11:00:00Z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0x0101002A616BD686733A41A7232C569F11C50A</vt:lpwstr>
  </property>
  <property fmtid="{D5CDD505-2E9C-101B-9397-08002B2CF9AE}" pid="3" name="TeamShareLastOpen">
    <vt:lpwstr>12-09-2018 10:52:17</vt:lpwstr>
  </property>
</Properties>
</file>