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5FAEE" w14:textId="742088F0" w:rsidR="00837245" w:rsidRPr="006E06F1" w:rsidRDefault="0002114D" w:rsidP="00837245">
      <w:pPr>
        <w:jc w:val="left"/>
        <w:rPr>
          <w:sz w:val="20"/>
        </w:rPr>
      </w:pPr>
      <w:r>
        <w:rPr>
          <w:sz w:val="20"/>
        </w:rPr>
        <w:t xml:space="preserve">Dokument oprettet </w:t>
      </w:r>
      <w:bookmarkStart w:id="0" w:name="dato"/>
      <w:r w:rsidR="00FF3706">
        <w:rPr>
          <w:sz w:val="20"/>
        </w:rPr>
        <w:t xml:space="preserve">05. december </w:t>
      </w:r>
      <w:r w:rsidRPr="006E06F1">
        <w:rPr>
          <w:sz w:val="20"/>
        </w:rPr>
        <w:t>2018</w:t>
      </w:r>
      <w:bookmarkEnd w:id="0"/>
    </w:p>
    <w:p w14:paraId="09A5FAF0" w14:textId="5531B1D9" w:rsidR="00837245" w:rsidRDefault="00837245" w:rsidP="00837245"/>
    <w:p w14:paraId="6E80BA34" w14:textId="77777777" w:rsidR="00FF3706" w:rsidRPr="00DC39F3" w:rsidRDefault="00FF3706" w:rsidP="00837245"/>
    <w:p w14:paraId="09A5FAF1" w14:textId="77777777" w:rsidR="00837245" w:rsidRPr="00DC39F3" w:rsidRDefault="00837245" w:rsidP="00837245"/>
    <w:p w14:paraId="09A5FAF2" w14:textId="196843E2" w:rsidR="00837245" w:rsidRPr="006E06F1" w:rsidRDefault="0002114D" w:rsidP="002E6939">
      <w:pPr>
        <w:pBdr>
          <w:bottom w:val="single" w:sz="4" w:space="1" w:color="auto"/>
        </w:pBdr>
        <w:jc w:val="left"/>
        <w:rPr>
          <w:rFonts w:ascii="Arial" w:hAnsi="Arial" w:cs="Arial"/>
          <w:b/>
          <w:sz w:val="36"/>
          <w:szCs w:val="36"/>
        </w:rPr>
      </w:pPr>
      <w:bookmarkStart w:id="1" w:name="dokumenttitel"/>
      <w:r w:rsidRPr="006E06F1">
        <w:rPr>
          <w:rFonts w:ascii="Arial" w:hAnsi="Arial" w:cs="Arial"/>
          <w:b/>
          <w:sz w:val="36"/>
          <w:szCs w:val="36"/>
        </w:rPr>
        <w:t xml:space="preserve">Opsamling </w:t>
      </w:r>
      <w:r w:rsidR="006E724E">
        <w:rPr>
          <w:rFonts w:ascii="Arial" w:hAnsi="Arial" w:cs="Arial"/>
          <w:b/>
          <w:sz w:val="36"/>
          <w:szCs w:val="36"/>
        </w:rPr>
        <w:t xml:space="preserve">finansloven </w:t>
      </w:r>
      <w:bookmarkEnd w:id="1"/>
      <w:r w:rsidR="000F104B">
        <w:rPr>
          <w:rFonts w:ascii="Arial" w:hAnsi="Arial" w:cs="Arial"/>
          <w:b/>
          <w:sz w:val="36"/>
          <w:szCs w:val="36"/>
        </w:rPr>
        <w:t>2019</w:t>
      </w:r>
      <w:bookmarkStart w:id="2" w:name="_GoBack"/>
      <w:bookmarkEnd w:id="2"/>
    </w:p>
    <w:p w14:paraId="4FC451AE" w14:textId="77777777" w:rsidR="002B02F4" w:rsidRDefault="002B02F4" w:rsidP="002B02F4">
      <w:pPr>
        <w:rPr>
          <w:b/>
        </w:rPr>
      </w:pPr>
    </w:p>
    <w:p w14:paraId="3147E43A" w14:textId="391A76E8" w:rsidR="002B02F4" w:rsidRPr="002B02F4" w:rsidRDefault="002B02F4" w:rsidP="002B02F4">
      <w:pPr>
        <w:rPr>
          <w:b/>
        </w:rPr>
      </w:pPr>
      <w:r>
        <w:rPr>
          <w:b/>
        </w:rPr>
        <w:t xml:space="preserve">Resumé: Afskaffelse af mindre-regulering og nye satspuljemidler </w:t>
      </w:r>
    </w:p>
    <w:p w14:paraId="0039B1E4" w14:textId="3BD3393E" w:rsidR="00D43C8F" w:rsidRDefault="006A2808">
      <w:pPr>
        <w:overflowPunct/>
        <w:autoSpaceDE/>
        <w:autoSpaceDN/>
        <w:adjustRightInd/>
        <w:spacing w:after="200" w:line="276" w:lineRule="auto"/>
        <w:jc w:val="left"/>
        <w:textAlignment w:val="auto"/>
      </w:pPr>
      <w:r>
        <w:t>Finanslovsaftalen mellem regeringen og Dansk Folkeparti betyder, at satspuljeforliget opsiges og mindre-reguleringen for hovedparten af overførselsindkomster afskaffes fra 2020. Folkepensionister og førtidspensionister før 2003</w:t>
      </w:r>
      <w:r w:rsidR="00D43C8F">
        <w:t xml:space="preserve"> får pengene som højere direkte ydelse og modtagere af andre indkomsterstattende ydelser såsom førtidspension (efter 2003), ledighedsydelse, </w:t>
      </w:r>
      <w:proofErr w:type="spellStart"/>
      <w:r w:rsidR="00D43C8F">
        <w:t>flekslønstilskud</w:t>
      </w:r>
      <w:proofErr w:type="spellEnd"/>
      <w:r w:rsidR="00D43C8F">
        <w:t xml:space="preserve">, ressourceforløbsydelse mv. får pengene som en ny opsparing. </w:t>
      </w:r>
    </w:p>
    <w:p w14:paraId="17D5A827" w14:textId="7C9342E0" w:rsidR="00D43C8F" w:rsidRDefault="00D43C8F" w:rsidP="00D43C8F">
      <w:r>
        <w:t xml:space="preserve">Afskaffelsen af mindre-reguleringen betyder også, at satspuljen fremover ikke bliver tilført nye midler. De ca. 15 mia. der allerede er i puljen, vil der fortsat blive uddelt midler fra. I 2020 og 2021 er satspuljen meget begrænset (hhv. 90 og 140 mio.). Derfor har regeringen i finanslovsaften skrevet, at der i finanslovsaftalen næste år, skal prioriteres midler til socialområdet for at kompensere for dette. </w:t>
      </w:r>
    </w:p>
    <w:p w14:paraId="7AA0B043" w14:textId="77777777" w:rsidR="00D43C8F" w:rsidRDefault="00D43C8F" w:rsidP="00D43C8F"/>
    <w:p w14:paraId="12A58A22" w14:textId="77777777" w:rsidR="00983E84" w:rsidRDefault="00D43C8F" w:rsidP="00D43C8F">
      <w:r>
        <w:t xml:space="preserve">I interviews efter aftalens indgåelse har socialminister Mai </w:t>
      </w:r>
      <w:proofErr w:type="spellStart"/>
      <w:r>
        <w:t>Mercado</w:t>
      </w:r>
      <w:proofErr w:type="spellEnd"/>
      <w:r>
        <w:t xml:space="preserve"> </w:t>
      </w:r>
      <w:r w:rsidR="00983E84">
        <w:t xml:space="preserve">desuden </w:t>
      </w:r>
      <w:r>
        <w:t>forklaret, at pengene i satspuljen fremover skal målrettes socialområdet</w:t>
      </w:r>
      <w:r w:rsidR="00983E84">
        <w:t xml:space="preserve"> og at </w:t>
      </w:r>
      <w:r>
        <w:t>hun ønsker</w:t>
      </w:r>
      <w:r w:rsidR="00983E84">
        <w:t>,</w:t>
      </w:r>
      <w:r>
        <w:t xml:space="preserve"> at puljen skal gå til midlertidige projekter. De permanente bevilliger skal flyttes til finansloven.</w:t>
      </w:r>
    </w:p>
    <w:p w14:paraId="28068A09" w14:textId="77777777" w:rsidR="00983E84" w:rsidRDefault="00983E84" w:rsidP="00D43C8F"/>
    <w:p w14:paraId="5A053B92" w14:textId="4FBBCA28" w:rsidR="006A2808" w:rsidRDefault="00983E84" w:rsidP="008E1678">
      <w:pPr>
        <w:rPr>
          <w:i/>
        </w:rPr>
      </w:pPr>
      <w:r>
        <w:rPr>
          <w:i/>
        </w:rPr>
        <w:t>Det har i mange år været en mærkesag for DH at få stoppet mindre-reguleringen, som har betydet stigende ulighed. Så det er godt, at borgere på overførselsindkomster nu fremover får fuld del i samfundets velstandsudvikling. Det er desuden positivt, at de nuværende midler bliver i puljen til uddeling. Og det giver god mening, at gentænke satspuljekonstruktionen med fokus på udviklingsprojekter, da mange nuværende satspuljeinitiativer reelt hører til på finansloven</w:t>
      </w:r>
      <w:r w:rsidR="00AE74AA">
        <w:rPr>
          <w:i/>
        </w:rPr>
        <w:t>. Fremover må regeringen</w:t>
      </w:r>
      <w:r>
        <w:rPr>
          <w:i/>
        </w:rPr>
        <w:t xml:space="preserve"> prioritere initiativer på socialområdet på l</w:t>
      </w:r>
      <w:r w:rsidR="00AE74AA">
        <w:rPr>
          <w:i/>
        </w:rPr>
        <w:t>ige fod med andre politiske initiativer</w:t>
      </w:r>
      <w:r>
        <w:rPr>
          <w:i/>
        </w:rPr>
        <w:t xml:space="preserve"> fremfor at lade mennesker på ov</w:t>
      </w:r>
      <w:r w:rsidR="00AE74AA">
        <w:rPr>
          <w:i/>
        </w:rPr>
        <w:t>erførselsindkomst finansiere dem</w:t>
      </w:r>
      <w:r>
        <w:rPr>
          <w:i/>
        </w:rPr>
        <w:t xml:space="preserve">. </w:t>
      </w:r>
    </w:p>
    <w:p w14:paraId="2D259075" w14:textId="26858D59" w:rsidR="002B02F4" w:rsidRDefault="002B02F4">
      <w:pPr>
        <w:overflowPunct/>
        <w:autoSpaceDE/>
        <w:autoSpaceDN/>
        <w:adjustRightInd/>
        <w:spacing w:after="200" w:line="276" w:lineRule="auto"/>
        <w:jc w:val="left"/>
        <w:textAlignment w:val="auto"/>
        <w:rPr>
          <w:i/>
        </w:rPr>
      </w:pPr>
      <w:r>
        <w:rPr>
          <w:i/>
        </w:rPr>
        <w:br w:type="page"/>
      </w:r>
    </w:p>
    <w:sdt>
      <w:sdtPr>
        <w:rPr>
          <w:rFonts w:ascii="Times New Roman" w:eastAsia="Times New Roman" w:hAnsi="Times New Roman" w:cs="Times New Roman"/>
          <w:color w:val="auto"/>
          <w:sz w:val="26"/>
          <w:szCs w:val="20"/>
        </w:rPr>
        <w:id w:val="-63101491"/>
        <w:docPartObj>
          <w:docPartGallery w:val="Table of Contents"/>
          <w:docPartUnique/>
        </w:docPartObj>
      </w:sdtPr>
      <w:sdtEndPr>
        <w:rPr>
          <w:b/>
          <w:bCs/>
        </w:rPr>
      </w:sdtEndPr>
      <w:sdtContent>
        <w:p w14:paraId="65949F51" w14:textId="400AB5B0" w:rsidR="006A2808" w:rsidRDefault="006A2808">
          <w:pPr>
            <w:pStyle w:val="Overskrift"/>
          </w:pPr>
          <w:r>
            <w:t>Indhold</w:t>
          </w:r>
        </w:p>
        <w:p w14:paraId="044427F4" w14:textId="75B27643" w:rsidR="006A2808" w:rsidRDefault="006A2808">
          <w:pPr>
            <w:pStyle w:val="Indholdsfortegnelse2"/>
            <w:tabs>
              <w:tab w:val="right" w:leader="dot" w:pos="952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1787915" w:history="1">
            <w:r w:rsidRPr="00831EAC">
              <w:rPr>
                <w:rStyle w:val="Hyperlink"/>
                <w:noProof/>
              </w:rPr>
              <w:t>Stop for mindreregulering af overførselsindkomster</w:t>
            </w:r>
            <w:r>
              <w:rPr>
                <w:noProof/>
                <w:webHidden/>
              </w:rPr>
              <w:tab/>
            </w:r>
            <w:r>
              <w:rPr>
                <w:noProof/>
                <w:webHidden/>
              </w:rPr>
              <w:fldChar w:fldCharType="begin"/>
            </w:r>
            <w:r>
              <w:rPr>
                <w:noProof/>
                <w:webHidden/>
              </w:rPr>
              <w:instrText xml:space="preserve"> PAGEREF _Toc531787915 \h </w:instrText>
            </w:r>
            <w:r>
              <w:rPr>
                <w:noProof/>
                <w:webHidden/>
              </w:rPr>
            </w:r>
            <w:r>
              <w:rPr>
                <w:noProof/>
                <w:webHidden/>
              </w:rPr>
              <w:fldChar w:fldCharType="separate"/>
            </w:r>
            <w:r w:rsidR="002B02F4">
              <w:rPr>
                <w:noProof/>
                <w:webHidden/>
              </w:rPr>
              <w:t>3</w:t>
            </w:r>
            <w:r>
              <w:rPr>
                <w:noProof/>
                <w:webHidden/>
              </w:rPr>
              <w:fldChar w:fldCharType="end"/>
            </w:r>
          </w:hyperlink>
        </w:p>
        <w:p w14:paraId="45BD62FA" w14:textId="0FA98BBC" w:rsidR="006A2808" w:rsidRDefault="00156BC0">
          <w:pPr>
            <w:pStyle w:val="Indholdsfortegnelse2"/>
            <w:tabs>
              <w:tab w:val="right" w:leader="dot" w:pos="9521"/>
            </w:tabs>
            <w:rPr>
              <w:rFonts w:asciiTheme="minorHAnsi" w:eastAsiaTheme="minorEastAsia" w:hAnsiTheme="minorHAnsi" w:cstheme="minorBidi"/>
              <w:noProof/>
              <w:sz w:val="22"/>
              <w:szCs w:val="22"/>
            </w:rPr>
          </w:pPr>
          <w:hyperlink w:anchor="_Toc531787916" w:history="1">
            <w:r w:rsidR="006A2808" w:rsidRPr="00831EAC">
              <w:rPr>
                <w:rStyle w:val="Hyperlink"/>
                <w:noProof/>
              </w:rPr>
              <w:t>Opsigelse af forliget om satspuljen</w:t>
            </w:r>
            <w:r w:rsidR="006A2808">
              <w:rPr>
                <w:noProof/>
                <w:webHidden/>
              </w:rPr>
              <w:tab/>
            </w:r>
            <w:r w:rsidR="006A2808">
              <w:rPr>
                <w:noProof/>
                <w:webHidden/>
              </w:rPr>
              <w:fldChar w:fldCharType="begin"/>
            </w:r>
            <w:r w:rsidR="006A2808">
              <w:rPr>
                <w:noProof/>
                <w:webHidden/>
              </w:rPr>
              <w:instrText xml:space="preserve"> PAGEREF _Toc531787916 \h </w:instrText>
            </w:r>
            <w:r w:rsidR="006A2808">
              <w:rPr>
                <w:noProof/>
                <w:webHidden/>
              </w:rPr>
            </w:r>
            <w:r w:rsidR="006A2808">
              <w:rPr>
                <w:noProof/>
                <w:webHidden/>
              </w:rPr>
              <w:fldChar w:fldCharType="separate"/>
            </w:r>
            <w:r w:rsidR="002B02F4">
              <w:rPr>
                <w:noProof/>
                <w:webHidden/>
              </w:rPr>
              <w:t>3</w:t>
            </w:r>
            <w:r w:rsidR="006A2808">
              <w:rPr>
                <w:noProof/>
                <w:webHidden/>
              </w:rPr>
              <w:fldChar w:fldCharType="end"/>
            </w:r>
          </w:hyperlink>
        </w:p>
        <w:p w14:paraId="0D8AF886" w14:textId="34E959FA" w:rsidR="006A2808" w:rsidRDefault="00156BC0">
          <w:pPr>
            <w:pStyle w:val="Indholdsfortegnelse2"/>
            <w:tabs>
              <w:tab w:val="right" w:leader="dot" w:pos="9521"/>
            </w:tabs>
            <w:rPr>
              <w:rFonts w:asciiTheme="minorHAnsi" w:eastAsiaTheme="minorEastAsia" w:hAnsiTheme="minorHAnsi" w:cstheme="minorBidi"/>
              <w:noProof/>
              <w:sz w:val="22"/>
              <w:szCs w:val="22"/>
            </w:rPr>
          </w:pPr>
          <w:hyperlink w:anchor="_Toc531787917" w:history="1">
            <w:r w:rsidR="006A2808" w:rsidRPr="00831EAC">
              <w:rPr>
                <w:rStyle w:val="Hyperlink"/>
                <w:noProof/>
              </w:rPr>
              <w:t>Diverse tiltag som skal give pensionister flere penge</w:t>
            </w:r>
            <w:r w:rsidR="006A2808">
              <w:rPr>
                <w:noProof/>
                <w:webHidden/>
              </w:rPr>
              <w:tab/>
            </w:r>
            <w:r w:rsidR="006A2808">
              <w:rPr>
                <w:noProof/>
                <w:webHidden/>
              </w:rPr>
              <w:fldChar w:fldCharType="begin"/>
            </w:r>
            <w:r w:rsidR="006A2808">
              <w:rPr>
                <w:noProof/>
                <w:webHidden/>
              </w:rPr>
              <w:instrText xml:space="preserve"> PAGEREF _Toc531787917 \h </w:instrText>
            </w:r>
            <w:r w:rsidR="006A2808">
              <w:rPr>
                <w:noProof/>
                <w:webHidden/>
              </w:rPr>
            </w:r>
            <w:r w:rsidR="006A2808">
              <w:rPr>
                <w:noProof/>
                <w:webHidden/>
              </w:rPr>
              <w:fldChar w:fldCharType="separate"/>
            </w:r>
            <w:r w:rsidR="002B02F4">
              <w:rPr>
                <w:noProof/>
                <w:webHidden/>
              </w:rPr>
              <w:t>4</w:t>
            </w:r>
            <w:r w:rsidR="006A2808">
              <w:rPr>
                <w:noProof/>
                <w:webHidden/>
              </w:rPr>
              <w:fldChar w:fldCharType="end"/>
            </w:r>
          </w:hyperlink>
        </w:p>
        <w:p w14:paraId="276CEF25" w14:textId="2AC67243" w:rsidR="006A2808" w:rsidRDefault="00156BC0">
          <w:pPr>
            <w:pStyle w:val="Indholdsfortegnelse2"/>
            <w:tabs>
              <w:tab w:val="right" w:leader="dot" w:pos="9521"/>
            </w:tabs>
            <w:rPr>
              <w:rFonts w:asciiTheme="minorHAnsi" w:eastAsiaTheme="minorEastAsia" w:hAnsiTheme="minorHAnsi" w:cstheme="minorBidi"/>
              <w:noProof/>
              <w:sz w:val="22"/>
              <w:szCs w:val="22"/>
            </w:rPr>
          </w:pPr>
          <w:hyperlink w:anchor="_Toc531787918" w:history="1">
            <w:r w:rsidR="006A2808" w:rsidRPr="00831EAC">
              <w:rPr>
                <w:rStyle w:val="Hyperlink"/>
                <w:noProof/>
              </w:rPr>
              <w:t>Nedbringelse af ventetiden til offentlig høreapparatbehandling</w:t>
            </w:r>
            <w:r w:rsidR="006A2808">
              <w:rPr>
                <w:noProof/>
                <w:webHidden/>
              </w:rPr>
              <w:tab/>
            </w:r>
            <w:r w:rsidR="006A2808">
              <w:rPr>
                <w:noProof/>
                <w:webHidden/>
              </w:rPr>
              <w:fldChar w:fldCharType="begin"/>
            </w:r>
            <w:r w:rsidR="006A2808">
              <w:rPr>
                <w:noProof/>
                <w:webHidden/>
              </w:rPr>
              <w:instrText xml:space="preserve"> PAGEREF _Toc531787918 \h </w:instrText>
            </w:r>
            <w:r w:rsidR="006A2808">
              <w:rPr>
                <w:noProof/>
                <w:webHidden/>
              </w:rPr>
            </w:r>
            <w:r w:rsidR="006A2808">
              <w:rPr>
                <w:noProof/>
                <w:webHidden/>
              </w:rPr>
              <w:fldChar w:fldCharType="separate"/>
            </w:r>
            <w:r w:rsidR="002B02F4">
              <w:rPr>
                <w:noProof/>
                <w:webHidden/>
              </w:rPr>
              <w:t>4</w:t>
            </w:r>
            <w:r w:rsidR="006A2808">
              <w:rPr>
                <w:noProof/>
                <w:webHidden/>
              </w:rPr>
              <w:fldChar w:fldCharType="end"/>
            </w:r>
          </w:hyperlink>
        </w:p>
        <w:p w14:paraId="191F1657" w14:textId="7ACC33B2" w:rsidR="006A2808" w:rsidRDefault="00156BC0">
          <w:pPr>
            <w:pStyle w:val="Indholdsfortegnelse2"/>
            <w:tabs>
              <w:tab w:val="right" w:leader="dot" w:pos="9521"/>
            </w:tabs>
            <w:rPr>
              <w:rFonts w:asciiTheme="minorHAnsi" w:eastAsiaTheme="minorEastAsia" w:hAnsiTheme="minorHAnsi" w:cstheme="minorBidi"/>
              <w:noProof/>
              <w:sz w:val="22"/>
              <w:szCs w:val="22"/>
            </w:rPr>
          </w:pPr>
          <w:hyperlink w:anchor="_Toc531787919" w:history="1">
            <w:r w:rsidR="006A2808" w:rsidRPr="00831EAC">
              <w:rPr>
                <w:rStyle w:val="Hyperlink"/>
                <w:noProof/>
              </w:rPr>
              <w:t>Penge til sundhedsreform og sundhedsindsatser</w:t>
            </w:r>
            <w:r w:rsidR="006A2808">
              <w:rPr>
                <w:noProof/>
                <w:webHidden/>
              </w:rPr>
              <w:tab/>
            </w:r>
            <w:r w:rsidR="006A2808">
              <w:rPr>
                <w:noProof/>
                <w:webHidden/>
              </w:rPr>
              <w:fldChar w:fldCharType="begin"/>
            </w:r>
            <w:r w:rsidR="006A2808">
              <w:rPr>
                <w:noProof/>
                <w:webHidden/>
              </w:rPr>
              <w:instrText xml:space="preserve"> PAGEREF _Toc531787919 \h </w:instrText>
            </w:r>
            <w:r w:rsidR="006A2808">
              <w:rPr>
                <w:noProof/>
                <w:webHidden/>
              </w:rPr>
            </w:r>
            <w:r w:rsidR="006A2808">
              <w:rPr>
                <w:noProof/>
                <w:webHidden/>
              </w:rPr>
              <w:fldChar w:fldCharType="separate"/>
            </w:r>
            <w:r w:rsidR="002B02F4">
              <w:rPr>
                <w:noProof/>
                <w:webHidden/>
              </w:rPr>
              <w:t>4</w:t>
            </w:r>
            <w:r w:rsidR="006A2808">
              <w:rPr>
                <w:noProof/>
                <w:webHidden/>
              </w:rPr>
              <w:fldChar w:fldCharType="end"/>
            </w:r>
          </w:hyperlink>
        </w:p>
        <w:p w14:paraId="58A8CE69" w14:textId="130F74F0" w:rsidR="006A2808" w:rsidRDefault="00156BC0">
          <w:pPr>
            <w:pStyle w:val="Indholdsfortegnelse2"/>
            <w:tabs>
              <w:tab w:val="right" w:leader="dot" w:pos="9521"/>
            </w:tabs>
            <w:rPr>
              <w:rFonts w:asciiTheme="minorHAnsi" w:eastAsiaTheme="minorEastAsia" w:hAnsiTheme="minorHAnsi" w:cstheme="minorBidi"/>
              <w:noProof/>
              <w:sz w:val="22"/>
              <w:szCs w:val="22"/>
            </w:rPr>
          </w:pPr>
          <w:hyperlink w:anchor="_Toc531787920" w:history="1">
            <w:r w:rsidR="006A2808" w:rsidRPr="00831EAC">
              <w:rPr>
                <w:rStyle w:val="Hyperlink"/>
                <w:noProof/>
              </w:rPr>
              <w:t>Styrket indsats til de mest syge i psykiatrien</w:t>
            </w:r>
            <w:r w:rsidR="006A2808">
              <w:rPr>
                <w:noProof/>
                <w:webHidden/>
              </w:rPr>
              <w:tab/>
            </w:r>
            <w:r w:rsidR="006A2808">
              <w:rPr>
                <w:noProof/>
                <w:webHidden/>
              </w:rPr>
              <w:fldChar w:fldCharType="begin"/>
            </w:r>
            <w:r w:rsidR="006A2808">
              <w:rPr>
                <w:noProof/>
                <w:webHidden/>
              </w:rPr>
              <w:instrText xml:space="preserve"> PAGEREF _Toc531787920 \h </w:instrText>
            </w:r>
            <w:r w:rsidR="006A2808">
              <w:rPr>
                <w:noProof/>
                <w:webHidden/>
              </w:rPr>
            </w:r>
            <w:r w:rsidR="006A2808">
              <w:rPr>
                <w:noProof/>
                <w:webHidden/>
              </w:rPr>
              <w:fldChar w:fldCharType="separate"/>
            </w:r>
            <w:r w:rsidR="002B02F4">
              <w:rPr>
                <w:noProof/>
                <w:webHidden/>
              </w:rPr>
              <w:t>5</w:t>
            </w:r>
            <w:r w:rsidR="006A2808">
              <w:rPr>
                <w:noProof/>
                <w:webHidden/>
              </w:rPr>
              <w:fldChar w:fldCharType="end"/>
            </w:r>
          </w:hyperlink>
        </w:p>
        <w:p w14:paraId="5F0384EF" w14:textId="1F3B13ED" w:rsidR="006A2808" w:rsidRDefault="00156BC0">
          <w:pPr>
            <w:pStyle w:val="Indholdsfortegnelse2"/>
            <w:tabs>
              <w:tab w:val="right" w:leader="dot" w:pos="9521"/>
            </w:tabs>
            <w:rPr>
              <w:rFonts w:asciiTheme="minorHAnsi" w:eastAsiaTheme="minorEastAsia" w:hAnsiTheme="minorHAnsi" w:cstheme="minorBidi"/>
              <w:noProof/>
              <w:sz w:val="22"/>
              <w:szCs w:val="22"/>
            </w:rPr>
          </w:pPr>
          <w:hyperlink w:anchor="_Toc531787921" w:history="1">
            <w:r w:rsidR="006A2808" w:rsidRPr="00831EAC">
              <w:rPr>
                <w:rStyle w:val="Hyperlink"/>
                <w:noProof/>
              </w:rPr>
              <w:t>Bekæmpelse af ensomhed, sorg, tab af livsmod og selvmord hos ældre</w:t>
            </w:r>
            <w:r w:rsidR="006A2808">
              <w:rPr>
                <w:noProof/>
                <w:webHidden/>
              </w:rPr>
              <w:tab/>
            </w:r>
            <w:r w:rsidR="006A2808">
              <w:rPr>
                <w:noProof/>
                <w:webHidden/>
              </w:rPr>
              <w:fldChar w:fldCharType="begin"/>
            </w:r>
            <w:r w:rsidR="006A2808">
              <w:rPr>
                <w:noProof/>
                <w:webHidden/>
              </w:rPr>
              <w:instrText xml:space="preserve"> PAGEREF _Toc531787921 \h </w:instrText>
            </w:r>
            <w:r w:rsidR="006A2808">
              <w:rPr>
                <w:noProof/>
                <w:webHidden/>
              </w:rPr>
            </w:r>
            <w:r w:rsidR="006A2808">
              <w:rPr>
                <w:noProof/>
                <w:webHidden/>
              </w:rPr>
              <w:fldChar w:fldCharType="separate"/>
            </w:r>
            <w:r w:rsidR="002B02F4">
              <w:rPr>
                <w:noProof/>
                <w:webHidden/>
              </w:rPr>
              <w:t>5</w:t>
            </w:r>
            <w:r w:rsidR="006A2808">
              <w:rPr>
                <w:noProof/>
                <w:webHidden/>
              </w:rPr>
              <w:fldChar w:fldCharType="end"/>
            </w:r>
          </w:hyperlink>
        </w:p>
        <w:p w14:paraId="250FA928" w14:textId="753C47EC" w:rsidR="006A2808" w:rsidRDefault="00156BC0">
          <w:pPr>
            <w:pStyle w:val="Indholdsfortegnelse2"/>
            <w:tabs>
              <w:tab w:val="right" w:leader="dot" w:pos="9521"/>
            </w:tabs>
            <w:rPr>
              <w:rFonts w:asciiTheme="minorHAnsi" w:eastAsiaTheme="minorEastAsia" w:hAnsiTheme="minorHAnsi" w:cstheme="minorBidi"/>
              <w:noProof/>
              <w:sz w:val="22"/>
              <w:szCs w:val="22"/>
            </w:rPr>
          </w:pPr>
          <w:hyperlink w:anchor="_Toc531787922" w:history="1">
            <w:r w:rsidR="006A2808" w:rsidRPr="00831EAC">
              <w:rPr>
                <w:rStyle w:val="Hyperlink"/>
                <w:noProof/>
              </w:rPr>
              <w:t>Forsøg med ledsageordning for ældre synshandicappede</w:t>
            </w:r>
            <w:r w:rsidR="006A2808">
              <w:rPr>
                <w:noProof/>
                <w:webHidden/>
              </w:rPr>
              <w:tab/>
            </w:r>
            <w:r w:rsidR="006A2808">
              <w:rPr>
                <w:noProof/>
                <w:webHidden/>
              </w:rPr>
              <w:fldChar w:fldCharType="begin"/>
            </w:r>
            <w:r w:rsidR="006A2808">
              <w:rPr>
                <w:noProof/>
                <w:webHidden/>
              </w:rPr>
              <w:instrText xml:space="preserve"> PAGEREF _Toc531787922 \h </w:instrText>
            </w:r>
            <w:r w:rsidR="006A2808">
              <w:rPr>
                <w:noProof/>
                <w:webHidden/>
              </w:rPr>
            </w:r>
            <w:r w:rsidR="006A2808">
              <w:rPr>
                <w:noProof/>
                <w:webHidden/>
              </w:rPr>
              <w:fldChar w:fldCharType="separate"/>
            </w:r>
            <w:r w:rsidR="002B02F4">
              <w:rPr>
                <w:noProof/>
                <w:webHidden/>
              </w:rPr>
              <w:t>5</w:t>
            </w:r>
            <w:r w:rsidR="006A2808">
              <w:rPr>
                <w:noProof/>
                <w:webHidden/>
              </w:rPr>
              <w:fldChar w:fldCharType="end"/>
            </w:r>
          </w:hyperlink>
        </w:p>
        <w:p w14:paraId="64D91F52" w14:textId="2DEDC0C5" w:rsidR="006A2808" w:rsidRDefault="00156BC0">
          <w:pPr>
            <w:pStyle w:val="Indholdsfortegnelse2"/>
            <w:tabs>
              <w:tab w:val="right" w:leader="dot" w:pos="9521"/>
            </w:tabs>
            <w:rPr>
              <w:rFonts w:asciiTheme="minorHAnsi" w:eastAsiaTheme="minorEastAsia" w:hAnsiTheme="minorHAnsi" w:cstheme="minorBidi"/>
              <w:noProof/>
              <w:sz w:val="22"/>
              <w:szCs w:val="22"/>
            </w:rPr>
          </w:pPr>
          <w:hyperlink w:anchor="_Toc531787923" w:history="1">
            <w:r w:rsidR="006A2808" w:rsidRPr="00831EAC">
              <w:rPr>
                <w:rStyle w:val="Hyperlink"/>
                <w:noProof/>
              </w:rPr>
              <w:t>Flere penge til gymnasier i tyndt befolkede områder</w:t>
            </w:r>
            <w:r w:rsidR="006A2808">
              <w:rPr>
                <w:noProof/>
                <w:webHidden/>
              </w:rPr>
              <w:tab/>
            </w:r>
            <w:r w:rsidR="006A2808">
              <w:rPr>
                <w:noProof/>
                <w:webHidden/>
              </w:rPr>
              <w:fldChar w:fldCharType="begin"/>
            </w:r>
            <w:r w:rsidR="006A2808">
              <w:rPr>
                <w:noProof/>
                <w:webHidden/>
              </w:rPr>
              <w:instrText xml:space="preserve"> PAGEREF _Toc531787923 \h </w:instrText>
            </w:r>
            <w:r w:rsidR="006A2808">
              <w:rPr>
                <w:noProof/>
                <w:webHidden/>
              </w:rPr>
            </w:r>
            <w:r w:rsidR="006A2808">
              <w:rPr>
                <w:noProof/>
                <w:webHidden/>
              </w:rPr>
              <w:fldChar w:fldCharType="separate"/>
            </w:r>
            <w:r w:rsidR="002B02F4">
              <w:rPr>
                <w:noProof/>
                <w:webHidden/>
              </w:rPr>
              <w:t>5</w:t>
            </w:r>
            <w:r w:rsidR="006A2808">
              <w:rPr>
                <w:noProof/>
                <w:webHidden/>
              </w:rPr>
              <w:fldChar w:fldCharType="end"/>
            </w:r>
          </w:hyperlink>
        </w:p>
        <w:p w14:paraId="78938B0A" w14:textId="156EFF5A" w:rsidR="006A2808" w:rsidRDefault="00156BC0">
          <w:pPr>
            <w:pStyle w:val="Indholdsfortegnelse2"/>
            <w:tabs>
              <w:tab w:val="right" w:leader="dot" w:pos="9521"/>
            </w:tabs>
            <w:rPr>
              <w:rFonts w:asciiTheme="minorHAnsi" w:eastAsiaTheme="minorEastAsia" w:hAnsiTheme="minorHAnsi" w:cstheme="minorBidi"/>
              <w:noProof/>
              <w:sz w:val="22"/>
              <w:szCs w:val="22"/>
            </w:rPr>
          </w:pPr>
          <w:hyperlink w:anchor="_Toc531787924" w:history="1">
            <w:r w:rsidR="006A2808" w:rsidRPr="00831EAC">
              <w:rPr>
                <w:rStyle w:val="Hyperlink"/>
                <w:noProof/>
              </w:rPr>
              <w:t>Forhøjelse af fribeløbet for SU-modtagere</w:t>
            </w:r>
            <w:r w:rsidR="006A2808">
              <w:rPr>
                <w:noProof/>
                <w:webHidden/>
              </w:rPr>
              <w:tab/>
            </w:r>
            <w:r w:rsidR="006A2808">
              <w:rPr>
                <w:noProof/>
                <w:webHidden/>
              </w:rPr>
              <w:fldChar w:fldCharType="begin"/>
            </w:r>
            <w:r w:rsidR="006A2808">
              <w:rPr>
                <w:noProof/>
                <w:webHidden/>
              </w:rPr>
              <w:instrText xml:space="preserve"> PAGEREF _Toc531787924 \h </w:instrText>
            </w:r>
            <w:r w:rsidR="006A2808">
              <w:rPr>
                <w:noProof/>
                <w:webHidden/>
              </w:rPr>
            </w:r>
            <w:r w:rsidR="006A2808">
              <w:rPr>
                <w:noProof/>
                <w:webHidden/>
              </w:rPr>
              <w:fldChar w:fldCharType="separate"/>
            </w:r>
            <w:r w:rsidR="002B02F4">
              <w:rPr>
                <w:noProof/>
                <w:webHidden/>
              </w:rPr>
              <w:t>5</w:t>
            </w:r>
            <w:r w:rsidR="006A2808">
              <w:rPr>
                <w:noProof/>
                <w:webHidden/>
              </w:rPr>
              <w:fldChar w:fldCharType="end"/>
            </w:r>
          </w:hyperlink>
        </w:p>
        <w:p w14:paraId="4F4A014F" w14:textId="5DAFF5B3" w:rsidR="006A2808" w:rsidRDefault="00156BC0">
          <w:pPr>
            <w:pStyle w:val="Indholdsfortegnelse2"/>
            <w:tabs>
              <w:tab w:val="right" w:leader="dot" w:pos="9521"/>
            </w:tabs>
            <w:rPr>
              <w:rFonts w:asciiTheme="minorHAnsi" w:eastAsiaTheme="minorEastAsia" w:hAnsiTheme="minorHAnsi" w:cstheme="minorBidi"/>
              <w:noProof/>
              <w:sz w:val="22"/>
              <w:szCs w:val="22"/>
            </w:rPr>
          </w:pPr>
          <w:hyperlink w:anchor="_Toc531787925" w:history="1">
            <w:r w:rsidR="006A2808" w:rsidRPr="00831EAC">
              <w:rPr>
                <w:rStyle w:val="Hyperlink"/>
                <w:noProof/>
              </w:rPr>
              <w:t>Erhvervsuddannelserne</w:t>
            </w:r>
            <w:r w:rsidR="006A2808">
              <w:rPr>
                <w:noProof/>
                <w:webHidden/>
              </w:rPr>
              <w:tab/>
            </w:r>
            <w:r w:rsidR="006A2808">
              <w:rPr>
                <w:noProof/>
                <w:webHidden/>
              </w:rPr>
              <w:fldChar w:fldCharType="begin"/>
            </w:r>
            <w:r w:rsidR="006A2808">
              <w:rPr>
                <w:noProof/>
                <w:webHidden/>
              </w:rPr>
              <w:instrText xml:space="preserve"> PAGEREF _Toc531787925 \h </w:instrText>
            </w:r>
            <w:r w:rsidR="006A2808">
              <w:rPr>
                <w:noProof/>
                <w:webHidden/>
              </w:rPr>
            </w:r>
            <w:r w:rsidR="006A2808">
              <w:rPr>
                <w:noProof/>
                <w:webHidden/>
              </w:rPr>
              <w:fldChar w:fldCharType="separate"/>
            </w:r>
            <w:r w:rsidR="002B02F4">
              <w:rPr>
                <w:noProof/>
                <w:webHidden/>
              </w:rPr>
              <w:t>6</w:t>
            </w:r>
            <w:r w:rsidR="006A2808">
              <w:rPr>
                <w:noProof/>
                <w:webHidden/>
              </w:rPr>
              <w:fldChar w:fldCharType="end"/>
            </w:r>
          </w:hyperlink>
        </w:p>
        <w:p w14:paraId="65210525" w14:textId="1F2D838E" w:rsidR="006A2808" w:rsidRDefault="00156BC0">
          <w:pPr>
            <w:pStyle w:val="Indholdsfortegnelse2"/>
            <w:tabs>
              <w:tab w:val="right" w:leader="dot" w:pos="9521"/>
            </w:tabs>
            <w:rPr>
              <w:rFonts w:asciiTheme="minorHAnsi" w:eastAsiaTheme="minorEastAsia" w:hAnsiTheme="minorHAnsi" w:cstheme="minorBidi"/>
              <w:noProof/>
              <w:sz w:val="22"/>
              <w:szCs w:val="22"/>
            </w:rPr>
          </w:pPr>
          <w:hyperlink w:anchor="_Toc531787926" w:history="1">
            <w:r w:rsidR="006A2808" w:rsidRPr="00831EAC">
              <w:rPr>
                <w:rStyle w:val="Hyperlink"/>
                <w:noProof/>
              </w:rPr>
              <w:t>Affald i etageejendomme</w:t>
            </w:r>
            <w:r w:rsidR="006A2808">
              <w:rPr>
                <w:noProof/>
                <w:webHidden/>
              </w:rPr>
              <w:tab/>
            </w:r>
            <w:r w:rsidR="006A2808">
              <w:rPr>
                <w:noProof/>
                <w:webHidden/>
              </w:rPr>
              <w:fldChar w:fldCharType="begin"/>
            </w:r>
            <w:r w:rsidR="006A2808">
              <w:rPr>
                <w:noProof/>
                <w:webHidden/>
              </w:rPr>
              <w:instrText xml:space="preserve"> PAGEREF _Toc531787926 \h </w:instrText>
            </w:r>
            <w:r w:rsidR="006A2808">
              <w:rPr>
                <w:noProof/>
                <w:webHidden/>
              </w:rPr>
            </w:r>
            <w:r w:rsidR="006A2808">
              <w:rPr>
                <w:noProof/>
                <w:webHidden/>
              </w:rPr>
              <w:fldChar w:fldCharType="separate"/>
            </w:r>
            <w:r w:rsidR="002B02F4">
              <w:rPr>
                <w:noProof/>
                <w:webHidden/>
              </w:rPr>
              <w:t>6</w:t>
            </w:r>
            <w:r w:rsidR="006A2808">
              <w:rPr>
                <w:noProof/>
                <w:webHidden/>
              </w:rPr>
              <w:fldChar w:fldCharType="end"/>
            </w:r>
          </w:hyperlink>
        </w:p>
        <w:p w14:paraId="3ECF474A" w14:textId="54559363" w:rsidR="006A2808" w:rsidRDefault="00156BC0">
          <w:pPr>
            <w:pStyle w:val="Indholdsfortegnelse2"/>
            <w:tabs>
              <w:tab w:val="right" w:leader="dot" w:pos="9521"/>
            </w:tabs>
            <w:rPr>
              <w:rFonts w:asciiTheme="minorHAnsi" w:eastAsiaTheme="minorEastAsia" w:hAnsiTheme="minorHAnsi" w:cstheme="minorBidi"/>
              <w:noProof/>
              <w:sz w:val="22"/>
              <w:szCs w:val="22"/>
            </w:rPr>
          </w:pPr>
          <w:hyperlink w:anchor="_Toc531787927" w:history="1">
            <w:r w:rsidR="006A2808" w:rsidRPr="00831EAC">
              <w:rPr>
                <w:rStyle w:val="Hyperlink"/>
                <w:noProof/>
              </w:rPr>
              <w:t>Investeringer i infrastruktur frem til 2030</w:t>
            </w:r>
            <w:r w:rsidR="006A2808">
              <w:rPr>
                <w:noProof/>
                <w:webHidden/>
              </w:rPr>
              <w:tab/>
            </w:r>
            <w:r w:rsidR="006A2808">
              <w:rPr>
                <w:noProof/>
                <w:webHidden/>
              </w:rPr>
              <w:fldChar w:fldCharType="begin"/>
            </w:r>
            <w:r w:rsidR="006A2808">
              <w:rPr>
                <w:noProof/>
                <w:webHidden/>
              </w:rPr>
              <w:instrText xml:space="preserve"> PAGEREF _Toc531787927 \h </w:instrText>
            </w:r>
            <w:r w:rsidR="006A2808">
              <w:rPr>
                <w:noProof/>
                <w:webHidden/>
              </w:rPr>
            </w:r>
            <w:r w:rsidR="006A2808">
              <w:rPr>
                <w:noProof/>
                <w:webHidden/>
              </w:rPr>
              <w:fldChar w:fldCharType="separate"/>
            </w:r>
            <w:r w:rsidR="002B02F4">
              <w:rPr>
                <w:noProof/>
                <w:webHidden/>
              </w:rPr>
              <w:t>7</w:t>
            </w:r>
            <w:r w:rsidR="006A2808">
              <w:rPr>
                <w:noProof/>
                <w:webHidden/>
              </w:rPr>
              <w:fldChar w:fldCharType="end"/>
            </w:r>
          </w:hyperlink>
        </w:p>
        <w:p w14:paraId="11B0D2C6" w14:textId="0C234495" w:rsidR="006A2808" w:rsidRDefault="006A2808">
          <w:r>
            <w:rPr>
              <w:b/>
              <w:bCs/>
            </w:rPr>
            <w:fldChar w:fldCharType="end"/>
          </w:r>
        </w:p>
      </w:sdtContent>
    </w:sdt>
    <w:p w14:paraId="21928681" w14:textId="77777777" w:rsidR="002B02F4" w:rsidRDefault="002B02F4">
      <w:pPr>
        <w:overflowPunct/>
        <w:autoSpaceDE/>
        <w:autoSpaceDN/>
        <w:adjustRightInd/>
        <w:spacing w:after="200" w:line="276" w:lineRule="auto"/>
        <w:jc w:val="left"/>
        <w:textAlignment w:val="auto"/>
        <w:rPr>
          <w:rFonts w:eastAsiaTheme="majorEastAsia" w:cstheme="majorBidi"/>
          <w:b/>
          <w:bCs/>
          <w:sz w:val="28"/>
          <w:szCs w:val="26"/>
          <w:lang w:eastAsia="en-US"/>
        </w:rPr>
      </w:pPr>
      <w:bookmarkStart w:id="3" w:name="_Toc531787915"/>
      <w:r>
        <w:br w:type="page"/>
      </w:r>
    </w:p>
    <w:p w14:paraId="29957ABC" w14:textId="2C430138" w:rsidR="006E724E" w:rsidRPr="00A50111" w:rsidRDefault="006E724E" w:rsidP="006E724E">
      <w:pPr>
        <w:pStyle w:val="Overskrift2"/>
      </w:pPr>
      <w:r w:rsidRPr="00A50111">
        <w:lastRenderedPageBreak/>
        <w:t>Stop for mindre</w:t>
      </w:r>
      <w:r w:rsidR="006A2808">
        <w:t>-</w:t>
      </w:r>
      <w:r w:rsidRPr="00A50111">
        <w:t>regulering af overførselsindkomster</w:t>
      </w:r>
      <w:bookmarkEnd w:id="3"/>
    </w:p>
    <w:p w14:paraId="39399362" w14:textId="77777777" w:rsidR="006E724E" w:rsidRDefault="006E724E" w:rsidP="006E724E"/>
    <w:p w14:paraId="669247B9" w14:textId="30FF445C" w:rsidR="006E724E" w:rsidRDefault="006E724E" w:rsidP="006E724E">
      <w:r>
        <w:t xml:space="preserve">Med finanslovaftalen har regeringen og Dansk Folkeparti vedtaget, at alle overførselsindkomster ikke længere skal mindre-reguleres årligt for at finansiere satspuljen. Det har siden starten af halvfemserne været sådan, at alle overførselsindkomster ikke har fulgt lønreguleringen i samfundet generelt, men har fået en mindre regulering og differencen er gået til satspuljen. </w:t>
      </w:r>
    </w:p>
    <w:p w14:paraId="64EBBB43" w14:textId="77777777" w:rsidR="006E724E" w:rsidRDefault="006E724E" w:rsidP="006E724E"/>
    <w:p w14:paraId="04AE014E" w14:textId="6B23BCE1" w:rsidR="006E724E" w:rsidRDefault="006E724E" w:rsidP="006E724E">
      <w:r>
        <w:t>Fremover får folkepensionister og førtidspensionister fra før 2003 deres ydelse reguleret fuldt med lønudviklingen. For de øvrige indkomsterstattende ydelser</w:t>
      </w:r>
      <w:r w:rsidR="00D43C8F">
        <w:rPr>
          <w:rStyle w:val="Fodnotehenvisning"/>
        </w:rPr>
        <w:footnoteReference w:id="1"/>
      </w:r>
      <w:r>
        <w:t xml:space="preserve">, dvs. f.eks. førtidspension efter 2003, fleksjob (både </w:t>
      </w:r>
      <w:proofErr w:type="spellStart"/>
      <w:r>
        <w:t>flekslønstilskud</w:t>
      </w:r>
      <w:proofErr w:type="spellEnd"/>
      <w:r>
        <w:t xml:space="preserve"> og ledighedsydelse), kontanthjælp, dagpenge, ressourceforløbsydelse mm., bortfalder mindre-reguleringen også. Derved vil ydelserne blive reguleret med lønudviklingen, men i stedet for at beløbet udbetales vil 0,3 procent årligt blive tilført en personlig pensionsopsparing, der administrereres af ATP. Således vil der i 2020 indbetales 0,3 procent, i 2021 0,6 procent osv. op til 3,3 procent i 2030. </w:t>
      </w:r>
    </w:p>
    <w:p w14:paraId="561535FA" w14:textId="3E3FD080" w:rsidR="006E724E" w:rsidRDefault="006E724E" w:rsidP="006E724E">
      <w:r>
        <w:t>Dermed vil folkepensionister og førtidspensionister fra før 2003 altså få et større rådighedsbeløb, mens øvrige modtagere af overførsler få</w:t>
      </w:r>
      <w:r w:rsidR="004F50F1">
        <w:t>r</w:t>
      </w:r>
      <w:r>
        <w:t xml:space="preserve"> penge</w:t>
      </w:r>
      <w:r w:rsidR="004F50F1">
        <w:t>ne</w:t>
      </w:r>
      <w:r>
        <w:t xml:space="preserve"> på en ny pensionsopsparing.</w:t>
      </w:r>
    </w:p>
    <w:p w14:paraId="2274AFE1" w14:textId="05EBC0C4" w:rsidR="006E724E" w:rsidRDefault="006E724E" w:rsidP="006E724E">
      <w:r>
        <w:t xml:space="preserve"> </w:t>
      </w:r>
    </w:p>
    <w:p w14:paraId="718C1A76" w14:textId="1ED6AE28" w:rsidR="006E724E" w:rsidRDefault="006E724E" w:rsidP="006E724E">
      <w:pPr>
        <w:rPr>
          <w:i/>
        </w:rPr>
      </w:pPr>
      <w:r w:rsidRPr="006E724E">
        <w:rPr>
          <w:b/>
          <w:i/>
        </w:rPr>
        <w:t>DH mener,</w:t>
      </w:r>
      <w:r>
        <w:t xml:space="preserve"> </w:t>
      </w:r>
      <w:r>
        <w:rPr>
          <w:i/>
        </w:rPr>
        <w:t xml:space="preserve">at man med finansloven har fået taget et vigtigt skridt og fået gjort op med mindre-reguleringen af overførselsindkomsterne. Det har i mange år været en mærkesag for DH at få stoppet mindre-reguleringen, som har været ulighedsskabende. En ulighed der er vokser og forværres over tid. Derfor er det godt, at borgere på overførselsindkomster nu fremover på den ene eller anden måde får fuld del i samfundets velstandsudvikling. </w:t>
      </w:r>
    </w:p>
    <w:p w14:paraId="6C6C5E7E" w14:textId="77777777" w:rsidR="004F50F1" w:rsidRDefault="004F50F1" w:rsidP="006E724E">
      <w:pPr>
        <w:rPr>
          <w:i/>
        </w:rPr>
      </w:pPr>
    </w:p>
    <w:p w14:paraId="26E004E6" w14:textId="2DA34A76" w:rsidR="006E724E" w:rsidRDefault="006E724E" w:rsidP="006E724E">
      <w:pPr>
        <w:rPr>
          <w:i/>
        </w:rPr>
      </w:pPr>
      <w:r>
        <w:rPr>
          <w:i/>
        </w:rPr>
        <w:t xml:space="preserve">Der er samtidig en pensionsproblematik for blandt andet førtidspensionister og fleksjobbere (restgruppeproblematikken), som der tages fat på med pensionsopsparingen.  Det er positivt – men ikke en sag, der kan betragtes som løst med ordningen her. </w:t>
      </w:r>
    </w:p>
    <w:p w14:paraId="633E26FC" w14:textId="77777777" w:rsidR="006E724E" w:rsidRDefault="006E724E" w:rsidP="006E724E">
      <w:pPr>
        <w:pStyle w:val="Overskrift2"/>
      </w:pPr>
      <w:bookmarkStart w:id="4" w:name="_Toc531787916"/>
      <w:r>
        <w:t>Opsigelse af forliget om satspuljen</w:t>
      </w:r>
      <w:bookmarkEnd w:id="4"/>
    </w:p>
    <w:p w14:paraId="72AA9707" w14:textId="77777777" w:rsidR="009A0095" w:rsidRDefault="006E724E" w:rsidP="006E724E">
      <w:r>
        <w:t xml:space="preserve">Regeringen har opsagt forliget om satspuljen </w:t>
      </w:r>
      <w:r w:rsidR="009A0095">
        <w:t>i</w:t>
      </w:r>
      <w:r>
        <w:t xml:space="preserve"> forbindelse med, at </w:t>
      </w:r>
      <w:r w:rsidR="009A0095">
        <w:t>den fjerner</w:t>
      </w:r>
      <w:r>
        <w:t xml:space="preserve"> mindre</w:t>
      </w:r>
      <w:r w:rsidR="009A0095">
        <w:t>-</w:t>
      </w:r>
      <w:r>
        <w:t>reguleringen</w:t>
      </w:r>
      <w:r w:rsidR="009A0095">
        <w:t xml:space="preserve">. Satspuljen vil derfor </w:t>
      </w:r>
      <w:r>
        <w:t xml:space="preserve">fremover ikke blive tilført nye midler. </w:t>
      </w:r>
    </w:p>
    <w:p w14:paraId="29B2F989" w14:textId="77777777" w:rsidR="009A0095" w:rsidRDefault="009A0095" w:rsidP="006E724E"/>
    <w:p w14:paraId="626A8EC0" w14:textId="65436760" w:rsidR="006E724E" w:rsidRDefault="006E724E" w:rsidP="006E724E">
      <w:r>
        <w:t>I satspuljen er der i dag</w:t>
      </w:r>
      <w:r w:rsidR="009A0095">
        <w:t xml:space="preserve"> ca. 15</w:t>
      </w:r>
      <w:r>
        <w:t xml:space="preserve"> mia., som fortsat vil være i puljen, og som der fortsat skal uddeles midler fra. En stor portion af satspuljen er bundet op på permanente bevillinger. Det er også derfor, at der årligt ”kun” uddeles mellem trekvart til halvanden milliard. I årene 2020 og 2021 er satspuljen meget begrænset</w:t>
      </w:r>
      <w:r w:rsidR="004F50F1">
        <w:t xml:space="preserve"> (h</w:t>
      </w:r>
      <w:r>
        <w:t>hv. 90 og 140 mio</w:t>
      </w:r>
      <w:r w:rsidR="004F50F1">
        <w:t>.)</w:t>
      </w:r>
      <w:r>
        <w:t xml:space="preserve">. </w:t>
      </w:r>
      <w:r w:rsidR="004F50F1">
        <w:t>Derfor har regeringen i f</w:t>
      </w:r>
      <w:r>
        <w:t xml:space="preserve">inanslovsaften skrevet, at der </w:t>
      </w:r>
      <w:r w:rsidR="00040B11">
        <w:t xml:space="preserve">i finanslovsaftalen </w:t>
      </w:r>
      <w:r w:rsidR="004F50F1">
        <w:t xml:space="preserve">næste år, skal </w:t>
      </w:r>
      <w:r>
        <w:t xml:space="preserve">prioriteres midler til socialområdet for at kompensere for dette. </w:t>
      </w:r>
    </w:p>
    <w:p w14:paraId="5A29524C" w14:textId="77777777" w:rsidR="009A0095" w:rsidRDefault="009A0095" w:rsidP="006E724E"/>
    <w:p w14:paraId="2CF34999" w14:textId="6D692817" w:rsidR="006E724E" w:rsidRDefault="006E724E" w:rsidP="006E724E">
      <w:r>
        <w:t xml:space="preserve">I interviews efter aftalens indgåelse har socialminister Mai </w:t>
      </w:r>
      <w:proofErr w:type="spellStart"/>
      <w:r>
        <w:t>Mercado</w:t>
      </w:r>
      <w:proofErr w:type="spellEnd"/>
      <w:r>
        <w:t xml:space="preserve"> forklaret, at pengene i satspuljen fremover skal målrettes socialområdet i højere grad end sundheds- og beskæftigelsesområdet, ligesom hun har gjort klart, at hun ønsker at puljen skal gå til midlertidige projekter. </w:t>
      </w:r>
      <w:r w:rsidR="009A0095">
        <w:t xml:space="preserve">De permanente bevilliger skal flyttes til finansloven. </w:t>
      </w:r>
    </w:p>
    <w:p w14:paraId="7672876E" w14:textId="77777777" w:rsidR="009A0095" w:rsidRDefault="009A0095" w:rsidP="006E724E"/>
    <w:p w14:paraId="0C5B3100" w14:textId="62C169D7" w:rsidR="006E724E" w:rsidRDefault="009A0095" w:rsidP="006E724E">
      <w:pPr>
        <w:rPr>
          <w:i/>
        </w:rPr>
      </w:pPr>
      <w:r w:rsidRPr="009A0095">
        <w:rPr>
          <w:b/>
          <w:i/>
        </w:rPr>
        <w:t>DH mener</w:t>
      </w:r>
      <w:r>
        <w:rPr>
          <w:i/>
        </w:rPr>
        <w:t>, at det er</w:t>
      </w:r>
      <w:r w:rsidR="006E724E">
        <w:rPr>
          <w:i/>
        </w:rPr>
        <w:t xml:space="preserve"> godt, at regeringen og DF har valgt ikke at lukke satspuljen, men at lade de </w:t>
      </w:r>
      <w:r w:rsidR="004F50F1">
        <w:rPr>
          <w:i/>
        </w:rPr>
        <w:t xml:space="preserve">nuværende </w:t>
      </w:r>
      <w:r w:rsidR="006E724E">
        <w:rPr>
          <w:i/>
        </w:rPr>
        <w:t xml:space="preserve">cirka 15 mia. blive i puljen til uddeling. </w:t>
      </w:r>
      <w:r>
        <w:rPr>
          <w:i/>
        </w:rPr>
        <w:t>Og det giver god mening, at gentænke satspuljekonstruktionen</w:t>
      </w:r>
      <w:r w:rsidR="006A2808">
        <w:rPr>
          <w:i/>
        </w:rPr>
        <w:t xml:space="preserve"> med fokus på udviklingsprojekter</w:t>
      </w:r>
      <w:r>
        <w:rPr>
          <w:i/>
        </w:rPr>
        <w:t xml:space="preserve">, da mange </w:t>
      </w:r>
      <w:r w:rsidR="006A2808">
        <w:rPr>
          <w:i/>
        </w:rPr>
        <w:t>nuværende satspulje</w:t>
      </w:r>
      <w:r>
        <w:rPr>
          <w:i/>
        </w:rPr>
        <w:t>initiativer reelt hører til på finansloven.</w:t>
      </w:r>
      <w:r w:rsidR="004F50F1">
        <w:rPr>
          <w:i/>
        </w:rPr>
        <w:t xml:space="preserve"> </w:t>
      </w:r>
    </w:p>
    <w:p w14:paraId="68D7E5B0" w14:textId="77777777" w:rsidR="006E724E" w:rsidRDefault="006E724E" w:rsidP="00273E83">
      <w:pPr>
        <w:pStyle w:val="Overskrift2"/>
      </w:pPr>
      <w:bookmarkStart w:id="5" w:name="_Toc531787917"/>
      <w:r>
        <w:t>Diverse tiltag som skal give pensionister flere penge</w:t>
      </w:r>
      <w:bookmarkEnd w:id="5"/>
    </w:p>
    <w:p w14:paraId="3D936F7F" w14:textId="21E3769A" w:rsidR="006E724E" w:rsidRDefault="006E724E" w:rsidP="006E724E">
      <w:r>
        <w:t>Regeringen og DF har med finansloven indgået en række aftaler, der skal gøre det mere fordelagtigt for folkepensionister at arbejde. Man vil blandt andet reducere aftrapningen af ældrechecken og pensionstillægget for ældre, der arbejder og forhøje fradrag</w:t>
      </w:r>
      <w:r w:rsidR="00273E83">
        <w:t>et i</w:t>
      </w:r>
      <w:r>
        <w:t xml:space="preserve"> diverse tillæg. </w:t>
      </w:r>
    </w:p>
    <w:p w14:paraId="0928B9C8" w14:textId="77777777" w:rsidR="00273E83" w:rsidRDefault="00273E83" w:rsidP="006E724E"/>
    <w:p w14:paraId="5C293DD1" w14:textId="77777777" w:rsidR="006E724E" w:rsidRDefault="006E724E" w:rsidP="006E724E">
      <w:r>
        <w:t xml:space="preserve">Samtidig tager regeringen i forhold til både folkepensionister og førtidspensionister fat på den gensidige forsørgerpligt. Konkret vil regeringen reducere den aftrapning af pensionen der sker, når en ægtefælle eller samlever har en indkomst. Konkret vil man øge fradraget for ægtefælle eller samlevers indkomst med 40.000 kroner. </w:t>
      </w:r>
    </w:p>
    <w:p w14:paraId="65155A17" w14:textId="77777777" w:rsidR="00273E83" w:rsidRDefault="00273E83" w:rsidP="006E724E">
      <w:pPr>
        <w:rPr>
          <w:i/>
        </w:rPr>
      </w:pPr>
    </w:p>
    <w:p w14:paraId="35355D3C" w14:textId="1661EDE0" w:rsidR="006E724E" w:rsidRPr="00273E83" w:rsidRDefault="006E724E" w:rsidP="006E724E">
      <w:pPr>
        <w:rPr>
          <w:b/>
          <w:i/>
        </w:rPr>
      </w:pPr>
      <w:r w:rsidRPr="00273E83">
        <w:rPr>
          <w:b/>
          <w:i/>
        </w:rPr>
        <w:t xml:space="preserve">DH </w:t>
      </w:r>
      <w:r w:rsidR="00273E83" w:rsidRPr="00273E83">
        <w:rPr>
          <w:b/>
          <w:i/>
        </w:rPr>
        <w:t>mener</w:t>
      </w:r>
      <w:r w:rsidR="00273E83" w:rsidRPr="00273E83">
        <w:rPr>
          <w:i/>
        </w:rPr>
        <w:t xml:space="preserve">, at </w:t>
      </w:r>
      <w:r w:rsidR="00273E83">
        <w:rPr>
          <w:i/>
        </w:rPr>
        <w:t>initiativerne er positive for</w:t>
      </w:r>
      <w:r w:rsidR="00273E83" w:rsidRPr="00273E83">
        <w:rPr>
          <w:i/>
        </w:rPr>
        <w:t xml:space="preserve"> mennesker med handicap, som er folkepensionister og ønsker at tage arbejde. De</w:t>
      </w:r>
      <w:r w:rsidR="00273E83">
        <w:rPr>
          <w:i/>
        </w:rPr>
        <w:t xml:space="preserve">t er også godt, at </w:t>
      </w:r>
      <w:r w:rsidRPr="00273E83">
        <w:rPr>
          <w:i/>
        </w:rPr>
        <w:t xml:space="preserve">førtidspensionister, som har en partner, der arbejder, vil få flere penge mellem hænderne. Derfor er det et positivt skridt mod en mindre streng fastholdelse af princippet omkring gensidig forsørgerpligt. DH så dog gerne, at man også tog fat på økonomien for de par, hvor begge parter har en førtidspension som indtægtsgrundlag. </w:t>
      </w:r>
    </w:p>
    <w:p w14:paraId="117E5EA5" w14:textId="5D6FFF72" w:rsidR="00837245" w:rsidRDefault="00837245" w:rsidP="00837245"/>
    <w:p w14:paraId="51EA59B6" w14:textId="77777777" w:rsidR="00273E83" w:rsidRPr="00273E83" w:rsidRDefault="00273E83" w:rsidP="00273E83">
      <w:pPr>
        <w:rPr>
          <w:b/>
          <w:sz w:val="22"/>
        </w:rPr>
      </w:pPr>
      <w:r w:rsidRPr="00273E83">
        <w:rPr>
          <w:b/>
        </w:rPr>
        <w:t>Stop for egenbetaling på kommunale akutpladser</w:t>
      </w:r>
    </w:p>
    <w:p w14:paraId="26807E8D" w14:textId="77777777" w:rsidR="00273E83" w:rsidRDefault="00273E83" w:rsidP="00273E83">
      <w:r>
        <w:t xml:space="preserve">Kommunerne opretter i stigende grad akutpladser under hjemmesygeplejen. Nogle kommuner har opkrævet betaling for tøjvask, mad osv. for patienters brug af akutpladserne. Fremover vil det ikke være tilladt at opkræve betaling for sådanne ydelser. </w:t>
      </w:r>
    </w:p>
    <w:p w14:paraId="2A839C20" w14:textId="77777777" w:rsidR="00273E83" w:rsidRDefault="00273E83" w:rsidP="00273E83"/>
    <w:p w14:paraId="7A260656" w14:textId="408F9EDB" w:rsidR="00273E83" w:rsidRPr="00273E83" w:rsidRDefault="00273E83" w:rsidP="00273E83">
      <w:pPr>
        <w:rPr>
          <w:i/>
        </w:rPr>
      </w:pPr>
      <w:r w:rsidRPr="00273E83">
        <w:rPr>
          <w:b/>
          <w:i/>
        </w:rPr>
        <w:t>DH mener</w:t>
      </w:r>
      <w:r w:rsidRPr="00273E83">
        <w:rPr>
          <w:i/>
        </w:rPr>
        <w:t xml:space="preserve">, at urimelig egenbetaling er også et problem på andre områder, men akutpladser er et godt sted at starte. </w:t>
      </w:r>
    </w:p>
    <w:p w14:paraId="3ED39BEC" w14:textId="77777777" w:rsidR="00273E83" w:rsidRPr="00273E83" w:rsidRDefault="00273E83" w:rsidP="00273E83">
      <w:pPr>
        <w:pStyle w:val="Overskrift2"/>
      </w:pPr>
      <w:bookmarkStart w:id="6" w:name="_Toc531787918"/>
      <w:r w:rsidRPr="00273E83">
        <w:t>Nedbringelse af ventetiden til offentlig høreapparatbehandling</w:t>
      </w:r>
      <w:bookmarkEnd w:id="6"/>
      <w:r w:rsidRPr="00273E83">
        <w:t xml:space="preserve"> </w:t>
      </w:r>
    </w:p>
    <w:p w14:paraId="571177D0" w14:textId="77777777" w:rsidR="00273E83" w:rsidRDefault="00273E83" w:rsidP="00273E83">
      <w:r>
        <w:t xml:space="preserve">Der afsættes 100 mio.kr. over fire år ud over allerede aftalte midler til høreområdet. De ekstra 100 mio.kr. går til at nedbringe de meget lange ventetider på høreapparatbehandling i offentligt regi. </w:t>
      </w:r>
    </w:p>
    <w:p w14:paraId="542E408D" w14:textId="77777777" w:rsidR="00273E83" w:rsidRDefault="00273E83" w:rsidP="00273E83"/>
    <w:p w14:paraId="0016FC88" w14:textId="52095929" w:rsidR="00273E83" w:rsidRPr="00273E83" w:rsidRDefault="00273E83" w:rsidP="00273E83">
      <w:pPr>
        <w:rPr>
          <w:i/>
        </w:rPr>
      </w:pPr>
      <w:r w:rsidRPr="00273E83">
        <w:rPr>
          <w:b/>
          <w:i/>
        </w:rPr>
        <w:t>DH mener</w:t>
      </w:r>
      <w:r w:rsidRPr="00273E83">
        <w:rPr>
          <w:i/>
        </w:rPr>
        <w:t xml:space="preserve">, at det er meget positivt med penge til at nedbringe ventetids-puklen. Høreapparatbehandling er dog stadig ikke kommet ind under den ventetidsgaranti, som dækker næsten alle andre behandlinger. </w:t>
      </w:r>
    </w:p>
    <w:p w14:paraId="6BA20286" w14:textId="77777777" w:rsidR="00273E83" w:rsidRDefault="00273E83" w:rsidP="00273E83">
      <w:pPr>
        <w:pStyle w:val="Overskrift2"/>
      </w:pPr>
      <w:bookmarkStart w:id="7" w:name="_Toc531787919"/>
      <w:r>
        <w:t>Penge til sundhedsreform og sundhedsindsatser</w:t>
      </w:r>
      <w:bookmarkEnd w:id="7"/>
    </w:p>
    <w:p w14:paraId="4147CBD4" w14:textId="77777777" w:rsidR="00273E83" w:rsidRDefault="00273E83" w:rsidP="00273E83">
      <w:r>
        <w:t xml:space="preserve">Der afsættes 535 mio.kr. over fire år til udmøntning af en kommende sundhedsreform. Desuden afsættes en pulje 100 mio.kr., også over fire år. </w:t>
      </w:r>
    </w:p>
    <w:p w14:paraId="7A636319" w14:textId="77777777" w:rsidR="00273E83" w:rsidRDefault="00273E83" w:rsidP="00273E83"/>
    <w:p w14:paraId="3EC9E12B" w14:textId="64458D17" w:rsidR="00273E83" w:rsidRPr="00273E83" w:rsidRDefault="00273E83" w:rsidP="00273E83">
      <w:pPr>
        <w:rPr>
          <w:i/>
        </w:rPr>
      </w:pPr>
      <w:r w:rsidRPr="00273E83">
        <w:rPr>
          <w:b/>
          <w:i/>
        </w:rPr>
        <w:t>DH mener</w:t>
      </w:r>
      <w:r w:rsidRPr="00273E83">
        <w:rPr>
          <w:i/>
        </w:rPr>
        <w:t xml:space="preserve"> – og vil arbejde for – at en del af pengene udmøntes til gavn for mennesker med kronisk sygdom og handicap.</w:t>
      </w:r>
    </w:p>
    <w:p w14:paraId="0711EF53" w14:textId="77777777" w:rsidR="00273E83" w:rsidRDefault="00273E83" w:rsidP="00273E83">
      <w:pPr>
        <w:pStyle w:val="Overskrift2"/>
      </w:pPr>
      <w:bookmarkStart w:id="8" w:name="_Toc531787920"/>
      <w:r>
        <w:lastRenderedPageBreak/>
        <w:t>Styrket indsats til de mest syge i psykiatrien</w:t>
      </w:r>
      <w:bookmarkEnd w:id="8"/>
    </w:p>
    <w:p w14:paraId="5616F833" w14:textId="77777777" w:rsidR="00273E83" w:rsidRDefault="00273E83" w:rsidP="00273E83">
      <w:r>
        <w:t xml:space="preserve">Med aftalen afsættes ekstra midler – i alt 100 mio.kr. over fire år - til to formål. Dels til at udvikle og etablere intensive sengeafsnit i voksenpsykiatrien. Dels til at oprette nye specialiserede børne- og ungepsykiatriske teams. </w:t>
      </w:r>
    </w:p>
    <w:p w14:paraId="4A3CAD72" w14:textId="77777777" w:rsidR="00273E83" w:rsidRDefault="00273E83" w:rsidP="00273E83"/>
    <w:p w14:paraId="0D436902" w14:textId="601E5D17" w:rsidR="00273E83" w:rsidRPr="00273E83" w:rsidRDefault="00273E83" w:rsidP="00273E83">
      <w:pPr>
        <w:rPr>
          <w:i/>
        </w:rPr>
      </w:pPr>
      <w:r w:rsidRPr="00273E83">
        <w:rPr>
          <w:b/>
          <w:i/>
        </w:rPr>
        <w:t>DH mener</w:t>
      </w:r>
      <w:r w:rsidRPr="00273E83">
        <w:rPr>
          <w:i/>
        </w:rPr>
        <w:t xml:space="preserve">, at det er positivt, for der er et stort behov for at styrke den intensive behandling – og forebygge tvang - over de hårdest ramte børn, unge og voksne. Der burde dog være afsat endnu flere midler. </w:t>
      </w:r>
    </w:p>
    <w:p w14:paraId="608E0117" w14:textId="77777777" w:rsidR="00273E83" w:rsidRDefault="00273E83" w:rsidP="00273E83">
      <w:pPr>
        <w:pStyle w:val="Overskrift2"/>
      </w:pPr>
      <w:bookmarkStart w:id="9" w:name="_Toc531787921"/>
      <w:r>
        <w:t>Bekæmpelse af ensomhed, sorg, tab af livsmod og selvmord hos ældre</w:t>
      </w:r>
      <w:bookmarkEnd w:id="9"/>
    </w:p>
    <w:p w14:paraId="42CCB149" w14:textId="77777777" w:rsidR="00273E83" w:rsidRDefault="00273E83" w:rsidP="00273E83">
      <w:r>
        <w:t xml:space="preserve">Der afsættes 400 mio.kr. over fire år til dette formål. </w:t>
      </w:r>
    </w:p>
    <w:p w14:paraId="41BA26DE" w14:textId="77777777" w:rsidR="00273E83" w:rsidRDefault="00273E83" w:rsidP="00273E83"/>
    <w:p w14:paraId="38C36F7A" w14:textId="2F939001" w:rsidR="00273E83" w:rsidRPr="00273E83" w:rsidRDefault="00273E83" w:rsidP="00273E83">
      <w:pPr>
        <w:rPr>
          <w:i/>
        </w:rPr>
      </w:pPr>
      <w:r w:rsidRPr="00273E83">
        <w:rPr>
          <w:b/>
          <w:i/>
        </w:rPr>
        <w:t>DH mener</w:t>
      </w:r>
      <w:r w:rsidRPr="00273E83">
        <w:rPr>
          <w:i/>
        </w:rPr>
        <w:t xml:space="preserve">, at det er godt at styrke den mentale sundhed hos ældre. Når pengene skal udmøntes, er det dog vigtigt at få sat fokus på ældre med handicap. Initiativet bør ikke stå alene. Ensomhed er også et problem for mange borgere med handicap i yngre aldersgrupper. </w:t>
      </w:r>
    </w:p>
    <w:p w14:paraId="07D33E57" w14:textId="77777777" w:rsidR="00340749" w:rsidRDefault="00340749" w:rsidP="00340749">
      <w:pPr>
        <w:pStyle w:val="Overskrift2"/>
        <w:rPr>
          <w:sz w:val="22"/>
        </w:rPr>
      </w:pPr>
      <w:bookmarkStart w:id="10" w:name="_Toc531787922"/>
      <w:r>
        <w:t>Forsøg med ledsageordning for ældre synshandicappede</w:t>
      </w:r>
      <w:bookmarkEnd w:id="10"/>
    </w:p>
    <w:p w14:paraId="4E0B433B" w14:textId="77777777" w:rsidR="00340749" w:rsidRDefault="00340749" w:rsidP="00340749">
      <w:r>
        <w:t>Ledsageordningen efter serviceloven, gives til personer under 67 år, som ikke kan færdes alene på grund af betydelig og varigt nedsat fysisk eller psykisk funktionsevne. Personer, som bevilliges ledsagelse før det 67. fyldte år, bevarer retten efter det fyldte 67. år, mens personer, som søger om ledsagelse efter det 67. fyldte år, ikke har ret til ledsagelse efter bestemmelsen. Der laves en 4-årig forsøgsperiode, hvor det bliver muligt at søge om ledsagelse til efter de fyldte 67 år, for personer med synshandicap. Dette for at modvirke isolation af ældre med synshandicap.</w:t>
      </w:r>
    </w:p>
    <w:p w14:paraId="211F0E0B" w14:textId="77777777" w:rsidR="00340749" w:rsidRDefault="00340749" w:rsidP="00340749"/>
    <w:p w14:paraId="3F6A8D25" w14:textId="75F8B91F" w:rsidR="00340749" w:rsidRPr="00340749" w:rsidRDefault="00340749" w:rsidP="00340749">
      <w:pPr>
        <w:rPr>
          <w:i/>
        </w:rPr>
      </w:pPr>
      <w:r w:rsidRPr="00340749">
        <w:rPr>
          <w:b/>
          <w:i/>
        </w:rPr>
        <w:t>DH mener</w:t>
      </w:r>
      <w:r w:rsidRPr="00340749">
        <w:rPr>
          <w:i/>
        </w:rPr>
        <w:t>, at aldersgrænsen for ledsagelse bør fjernes, så alle</w:t>
      </w:r>
      <w:r>
        <w:rPr>
          <w:i/>
        </w:rPr>
        <w:t>,</w:t>
      </w:r>
      <w:r w:rsidRPr="00340749">
        <w:rPr>
          <w:i/>
        </w:rPr>
        <w:t xml:space="preserve"> der ikke kan færdes alene på grund af betydelig og varigt nedsat fysisk eller psykisk funktionsevne, kan få ledsagelse, hvis behovet opstår efter det 67. fyldte år. DH er positive over for, at der laves forsøgsordning på området, så muligheden på sigt kan udvides til at omfatte alle med handicap over 67 år.</w:t>
      </w:r>
    </w:p>
    <w:p w14:paraId="14820A51" w14:textId="77777777" w:rsidR="00340749" w:rsidRDefault="00340749" w:rsidP="00273E83"/>
    <w:p w14:paraId="2CE5BAFD" w14:textId="77777777" w:rsidR="00273E83" w:rsidRDefault="00273E83" w:rsidP="00273E83">
      <w:pPr>
        <w:pStyle w:val="NormalWeb"/>
        <w:spacing w:line="343" w:lineRule="atLeast"/>
        <w:rPr>
          <w:rFonts w:ascii="Geogrotesque W01" w:hAnsi="Geogrotesque W01" w:cs="Arial"/>
          <w:color w:val="000000"/>
          <w:sz w:val="27"/>
          <w:szCs w:val="27"/>
        </w:rPr>
      </w:pPr>
      <w:bookmarkStart w:id="11" w:name="_Toc531787923"/>
      <w:r w:rsidRPr="00273E83">
        <w:rPr>
          <w:rStyle w:val="Overskrift2Tegn"/>
        </w:rPr>
        <w:t>Flere penge til gymnasier i tyndt befolkede områder</w:t>
      </w:r>
      <w:bookmarkEnd w:id="11"/>
      <w:r w:rsidRPr="00273E83">
        <w:rPr>
          <w:rStyle w:val="Overskrift2Tegn"/>
        </w:rPr>
        <w:br/>
      </w:r>
      <w:r>
        <w:rPr>
          <w:rFonts w:ascii="Geogrotesque W01" w:hAnsi="Geogrotesque W01" w:cs="Arial"/>
          <w:color w:val="000000"/>
          <w:sz w:val="27"/>
          <w:szCs w:val="27"/>
        </w:rPr>
        <w:t xml:space="preserve">Der afsættes 10 mio. kr. årligt i perioden 2019-2022 til et midlertidigt løft af tilskuddet til gymnasier med færre end 430 </w:t>
      </w:r>
      <w:proofErr w:type="spellStart"/>
      <w:r>
        <w:rPr>
          <w:rFonts w:ascii="Geogrotesque W01" w:hAnsi="Geogrotesque W01" w:cs="Arial"/>
          <w:color w:val="000000"/>
          <w:sz w:val="27"/>
          <w:szCs w:val="27"/>
        </w:rPr>
        <w:t>stx</w:t>
      </w:r>
      <w:proofErr w:type="spellEnd"/>
      <w:r>
        <w:rPr>
          <w:rFonts w:ascii="Geogrotesque W01" w:hAnsi="Geogrotesque W01" w:cs="Arial"/>
          <w:color w:val="000000"/>
          <w:sz w:val="27"/>
          <w:szCs w:val="27"/>
        </w:rPr>
        <w:t xml:space="preserve"> årselever, og hvor institutionens elever ville få mere end 20 km til det nærmeste gymnasium, hvis uddannelsestilbuddet på institutionen faldt bort. Formålet er at understøtte almene gymnasier, beliggende i tyndt befolkede områder, og at understøtte et bredt geografisk udbud af gymnasier.</w:t>
      </w:r>
    </w:p>
    <w:p w14:paraId="04434F89" w14:textId="1A286D1F" w:rsidR="00273E83" w:rsidRPr="00263CE6" w:rsidRDefault="00273E83" w:rsidP="00273E83">
      <w:pPr>
        <w:pStyle w:val="NormalWeb"/>
        <w:spacing w:line="343" w:lineRule="atLeast"/>
        <w:rPr>
          <w:rFonts w:ascii="Geogrotesque W01" w:hAnsi="Geogrotesque W01" w:cs="Arial"/>
          <w:i/>
          <w:color w:val="000000"/>
          <w:sz w:val="27"/>
          <w:szCs w:val="27"/>
        </w:rPr>
      </w:pPr>
      <w:r w:rsidRPr="00273E83">
        <w:rPr>
          <w:rFonts w:ascii="Geogrotesque W01" w:hAnsi="Geogrotesque W01" w:cs="Arial"/>
          <w:b/>
          <w:i/>
          <w:color w:val="000000"/>
          <w:sz w:val="27"/>
          <w:szCs w:val="27"/>
        </w:rPr>
        <w:t>DH mener</w:t>
      </w:r>
      <w:r>
        <w:rPr>
          <w:rFonts w:ascii="Geogrotesque W01" w:hAnsi="Geogrotesque W01" w:cs="Arial"/>
          <w:i/>
          <w:color w:val="000000"/>
          <w:sz w:val="27"/>
          <w:szCs w:val="27"/>
        </w:rPr>
        <w:t>, at d</w:t>
      </w:r>
      <w:r w:rsidRPr="00263CE6">
        <w:rPr>
          <w:rFonts w:ascii="Geogrotesque W01" w:hAnsi="Geogrotesque W01" w:cs="Arial"/>
          <w:i/>
          <w:color w:val="000000"/>
          <w:sz w:val="27"/>
          <w:szCs w:val="27"/>
        </w:rPr>
        <w:t xml:space="preserve">et er et udmærket </w:t>
      </w:r>
      <w:r>
        <w:rPr>
          <w:rFonts w:ascii="Geogrotesque W01" w:hAnsi="Geogrotesque W01" w:cs="Arial"/>
          <w:i/>
          <w:color w:val="000000"/>
          <w:sz w:val="27"/>
          <w:szCs w:val="27"/>
        </w:rPr>
        <w:t xml:space="preserve">generelt </w:t>
      </w:r>
      <w:r w:rsidRPr="00263CE6">
        <w:rPr>
          <w:rFonts w:ascii="Geogrotesque W01" w:hAnsi="Geogrotesque W01" w:cs="Arial"/>
          <w:i/>
          <w:color w:val="000000"/>
          <w:sz w:val="27"/>
          <w:szCs w:val="27"/>
        </w:rPr>
        <w:t>initiativ, der også vil kunne gavne unge med handicap i udkantsområder, der ellers ri</w:t>
      </w:r>
      <w:r>
        <w:rPr>
          <w:rFonts w:ascii="Geogrotesque W01" w:hAnsi="Geogrotesque W01" w:cs="Arial"/>
          <w:i/>
          <w:color w:val="000000"/>
          <w:sz w:val="27"/>
          <w:szCs w:val="27"/>
        </w:rPr>
        <w:t>sikerer at have meget lang afstand til en gymnasial ungdomsuddannelse, hvilket kan udgøre en barriere for at tage en ungdomsuddannelse.</w:t>
      </w:r>
    </w:p>
    <w:p w14:paraId="254EE328" w14:textId="77777777" w:rsidR="00273E83" w:rsidRDefault="00273E83" w:rsidP="00273E83">
      <w:pPr>
        <w:pStyle w:val="NormalWeb"/>
        <w:spacing w:line="343" w:lineRule="atLeast"/>
        <w:rPr>
          <w:rFonts w:ascii="Geogrotesque W01" w:hAnsi="Geogrotesque W01" w:cs="Arial"/>
          <w:color w:val="000000"/>
          <w:sz w:val="27"/>
          <w:szCs w:val="27"/>
        </w:rPr>
      </w:pPr>
      <w:bookmarkStart w:id="12" w:name="_Toc531787924"/>
      <w:r w:rsidRPr="00273E83">
        <w:rPr>
          <w:rStyle w:val="Overskrift2Tegn"/>
        </w:rPr>
        <w:t>Forhøjelse af fribeløbet for SU-modtagere</w:t>
      </w:r>
      <w:bookmarkEnd w:id="12"/>
      <w:r w:rsidRPr="00273E83">
        <w:rPr>
          <w:rStyle w:val="Overskrift2Tegn"/>
        </w:rPr>
        <w:br/>
      </w:r>
      <w:r>
        <w:rPr>
          <w:rFonts w:ascii="Geogrotesque W01" w:hAnsi="Geogrotesque W01" w:cs="Arial"/>
          <w:color w:val="000000"/>
          <w:sz w:val="27"/>
          <w:szCs w:val="27"/>
        </w:rPr>
        <w:t xml:space="preserve">Der afsættes midler til at hæve det beløb, som elever og studerende må tjene ved siden af deres SU uden at blive modregnet. Det kaldes ”fribeløbet”. Beløbet hæves fra 7.749 </w:t>
      </w:r>
      <w:r>
        <w:rPr>
          <w:rFonts w:ascii="Geogrotesque W01" w:hAnsi="Geogrotesque W01" w:cs="Arial"/>
          <w:color w:val="000000"/>
          <w:sz w:val="27"/>
          <w:szCs w:val="27"/>
        </w:rPr>
        <w:lastRenderedPageBreak/>
        <w:t>kr. til 8.749 kr. pr. måned for elever på ungdomsuddannelserne og fra 12.222 kr. pr. måned til 13.222 kr. pr. måned (i måneder med SU) for studerende på videregående uddannelser.</w:t>
      </w:r>
    </w:p>
    <w:p w14:paraId="5E6D4BB2" w14:textId="1F94CE8A" w:rsidR="00273E83" w:rsidRPr="00163FA0" w:rsidRDefault="00273E83" w:rsidP="00273E83">
      <w:pPr>
        <w:pStyle w:val="NormalWeb"/>
        <w:spacing w:line="343" w:lineRule="atLeast"/>
        <w:rPr>
          <w:rStyle w:val="Strk"/>
          <w:rFonts w:ascii="Geogrotesque W01" w:eastAsiaTheme="majorEastAsia" w:hAnsi="Geogrotesque W01" w:cs="Arial"/>
          <w:b w:val="0"/>
          <w:i/>
          <w:color w:val="000000"/>
          <w:sz w:val="27"/>
          <w:szCs w:val="27"/>
        </w:rPr>
      </w:pPr>
      <w:r w:rsidRPr="00273E83">
        <w:rPr>
          <w:rStyle w:val="Strk"/>
          <w:rFonts w:ascii="Geogrotesque W01" w:eastAsiaTheme="majorEastAsia" w:hAnsi="Geogrotesque W01" w:cs="Arial"/>
          <w:i/>
          <w:color w:val="000000"/>
          <w:sz w:val="27"/>
          <w:szCs w:val="27"/>
        </w:rPr>
        <w:t>DH mener,</w:t>
      </w:r>
      <w:r>
        <w:rPr>
          <w:rStyle w:val="Strk"/>
          <w:rFonts w:ascii="Geogrotesque W01" w:eastAsiaTheme="majorEastAsia" w:hAnsi="Geogrotesque W01" w:cs="Arial"/>
          <w:b w:val="0"/>
          <w:i/>
          <w:color w:val="000000"/>
          <w:sz w:val="27"/>
          <w:szCs w:val="27"/>
        </w:rPr>
        <w:t xml:space="preserve"> at det er et</w:t>
      </w:r>
      <w:r w:rsidRPr="00163FA0">
        <w:rPr>
          <w:rStyle w:val="Strk"/>
          <w:rFonts w:ascii="Geogrotesque W01" w:eastAsiaTheme="majorEastAsia" w:hAnsi="Geogrotesque W01" w:cs="Arial"/>
          <w:b w:val="0"/>
          <w:i/>
          <w:color w:val="000000"/>
          <w:sz w:val="27"/>
          <w:szCs w:val="27"/>
        </w:rPr>
        <w:t xml:space="preserve"> forslag, der generelt gavner studerende, men som dog vurderes at gavne færre studerende med handicap, der i lavere grad formodes at have studiejob ved siden af deres uddannelse.</w:t>
      </w:r>
    </w:p>
    <w:p w14:paraId="21FDE786" w14:textId="77777777" w:rsidR="00273E83" w:rsidRDefault="00273E83" w:rsidP="00273E83">
      <w:pPr>
        <w:spacing w:before="100" w:beforeAutospacing="1" w:after="100" w:afterAutospacing="1" w:line="343" w:lineRule="atLeast"/>
        <w:rPr>
          <w:rFonts w:ascii="Geogrotesque W01" w:hAnsi="Geogrotesque W01" w:cs="Arial"/>
          <w:color w:val="000000"/>
          <w:sz w:val="27"/>
          <w:szCs w:val="27"/>
        </w:rPr>
      </w:pPr>
      <w:bookmarkStart w:id="13" w:name="_Toc531787925"/>
      <w:r w:rsidRPr="00340749">
        <w:rPr>
          <w:rStyle w:val="Overskrift2Tegn"/>
        </w:rPr>
        <w:t>Erhvervsuddannelserne</w:t>
      </w:r>
      <w:bookmarkEnd w:id="13"/>
      <w:r w:rsidRPr="00340749">
        <w:rPr>
          <w:rStyle w:val="Overskrift2Tegn"/>
        </w:rPr>
        <w:br/>
      </w:r>
      <w:r>
        <w:rPr>
          <w:rFonts w:ascii="Geogrotesque W01" w:hAnsi="Geogrotesque W01" w:cs="Arial"/>
          <w:color w:val="000000"/>
          <w:sz w:val="27"/>
          <w:szCs w:val="27"/>
        </w:rPr>
        <w:t xml:space="preserve">Omprioriteringsbidraget på erhvervsuddannelserne afskaffes. </w:t>
      </w:r>
      <w:r w:rsidRPr="00446313">
        <w:rPr>
          <w:rFonts w:ascii="Geogrotesque W01" w:hAnsi="Geogrotesque W01" w:cs="Arial"/>
          <w:color w:val="000000"/>
          <w:sz w:val="27"/>
          <w:szCs w:val="27"/>
        </w:rPr>
        <w:t>Med aftalen om erhvervsuddannelser (EUD-aftalen) gennemføres en række</w:t>
      </w:r>
      <w:r>
        <w:rPr>
          <w:rFonts w:ascii="Geogrotesque W01" w:hAnsi="Geogrotesque W01" w:cs="Arial"/>
          <w:color w:val="000000"/>
          <w:sz w:val="27"/>
          <w:szCs w:val="27"/>
        </w:rPr>
        <w:t xml:space="preserve"> </w:t>
      </w:r>
      <w:r w:rsidRPr="00446313">
        <w:rPr>
          <w:rFonts w:ascii="Geogrotesque W01" w:hAnsi="Geogrotesque W01" w:cs="Arial"/>
          <w:color w:val="000000"/>
          <w:sz w:val="27"/>
          <w:szCs w:val="27"/>
        </w:rPr>
        <w:t xml:space="preserve">initiativer, der skal øge søgningen til og gennemførslen af erhvervsuddannelserne. </w:t>
      </w:r>
      <w:r>
        <w:rPr>
          <w:rFonts w:ascii="Geogrotesque W01" w:hAnsi="Geogrotesque W01" w:cs="Arial"/>
          <w:color w:val="000000"/>
          <w:sz w:val="27"/>
          <w:szCs w:val="27"/>
        </w:rPr>
        <w:t>S</w:t>
      </w:r>
      <w:r w:rsidRPr="00446313">
        <w:rPr>
          <w:rFonts w:ascii="Geogrotesque W01" w:hAnsi="Geogrotesque W01" w:cs="Arial"/>
          <w:color w:val="000000"/>
          <w:sz w:val="27"/>
          <w:szCs w:val="27"/>
        </w:rPr>
        <w:t xml:space="preserve">om led i EUD-aftalen </w:t>
      </w:r>
      <w:r>
        <w:rPr>
          <w:rFonts w:ascii="Geogrotesque W01" w:hAnsi="Geogrotesque W01" w:cs="Arial"/>
          <w:color w:val="000000"/>
          <w:sz w:val="27"/>
          <w:szCs w:val="27"/>
        </w:rPr>
        <w:t>kommer den</w:t>
      </w:r>
      <w:r w:rsidRPr="00446313">
        <w:rPr>
          <w:rFonts w:ascii="Geogrotesque W01" w:hAnsi="Geogrotesque W01" w:cs="Arial"/>
          <w:color w:val="000000"/>
          <w:sz w:val="27"/>
          <w:szCs w:val="27"/>
        </w:rPr>
        <w:t xml:space="preserve"> obligatoriske prøve i 8. klasse i elevens obligatoriske </w:t>
      </w:r>
      <w:r>
        <w:rPr>
          <w:rFonts w:ascii="Geogrotesque W01" w:hAnsi="Geogrotesque W01" w:cs="Arial"/>
          <w:color w:val="000000"/>
          <w:sz w:val="27"/>
          <w:szCs w:val="27"/>
        </w:rPr>
        <w:t>p</w:t>
      </w:r>
      <w:r w:rsidRPr="00446313">
        <w:rPr>
          <w:rFonts w:ascii="Geogrotesque W01" w:hAnsi="Geogrotesque W01" w:cs="Arial"/>
          <w:color w:val="000000"/>
          <w:sz w:val="27"/>
          <w:szCs w:val="27"/>
        </w:rPr>
        <w:t xml:space="preserve">raktiske/musiske valgfag </w:t>
      </w:r>
      <w:r>
        <w:rPr>
          <w:rFonts w:ascii="Geogrotesque W01" w:hAnsi="Geogrotesque W01" w:cs="Arial"/>
          <w:color w:val="000000"/>
          <w:sz w:val="27"/>
          <w:szCs w:val="27"/>
        </w:rPr>
        <w:t xml:space="preserve">fremover til at </w:t>
      </w:r>
      <w:r w:rsidRPr="00446313">
        <w:rPr>
          <w:rFonts w:ascii="Geogrotesque W01" w:hAnsi="Geogrotesque W01" w:cs="Arial"/>
          <w:color w:val="000000"/>
          <w:sz w:val="27"/>
          <w:szCs w:val="27"/>
        </w:rPr>
        <w:t>tælle med i</w:t>
      </w:r>
      <w:r>
        <w:rPr>
          <w:rFonts w:ascii="Geogrotesque W01" w:hAnsi="Geogrotesque W01" w:cs="Arial"/>
          <w:color w:val="000000"/>
          <w:sz w:val="27"/>
          <w:szCs w:val="27"/>
        </w:rPr>
        <w:t xml:space="preserve"> </w:t>
      </w:r>
      <w:r w:rsidRPr="00446313">
        <w:rPr>
          <w:rFonts w:ascii="Geogrotesque W01" w:hAnsi="Geogrotesque W01" w:cs="Arial"/>
          <w:color w:val="000000"/>
          <w:sz w:val="27"/>
          <w:szCs w:val="27"/>
        </w:rPr>
        <w:t>beregningen af, om eleven har bestået folkeskolens afgangseksamen.</w:t>
      </w:r>
      <w:r>
        <w:rPr>
          <w:rFonts w:ascii="Geogrotesque W01" w:hAnsi="Geogrotesque W01" w:cs="Arial"/>
          <w:color w:val="000000"/>
          <w:sz w:val="27"/>
          <w:szCs w:val="27"/>
        </w:rPr>
        <w:t xml:space="preserve"> Med aftalen afsættes 383,3 mio. kr. i 2019, 504,7 mio. kr. i 2020, 654,8 mio. kr. i 2021 og 779,0 mio. kr. i 2022. </w:t>
      </w:r>
      <w:hyperlink r:id="rId12" w:history="1">
        <w:r w:rsidRPr="00446313">
          <w:rPr>
            <w:rStyle w:val="Hyperlink"/>
            <w:rFonts w:ascii="Geogrotesque W01" w:eastAsiaTheme="majorEastAsia" w:hAnsi="Geogrotesque W01" w:cs="Arial"/>
            <w:sz w:val="27"/>
            <w:szCs w:val="27"/>
          </w:rPr>
          <w:t>Få overblik og hele aftalen om erhvervsuddannelser her </w:t>
        </w:r>
      </w:hyperlink>
    </w:p>
    <w:p w14:paraId="24A7BCD3" w14:textId="65FFFB3E" w:rsidR="00273E83" w:rsidRDefault="00273E83" w:rsidP="00273E83">
      <w:pPr>
        <w:pStyle w:val="NormalWeb"/>
        <w:spacing w:line="343" w:lineRule="atLeast"/>
        <w:rPr>
          <w:rFonts w:ascii="Geogrotesque W01" w:hAnsi="Geogrotesque W01" w:cs="Arial"/>
          <w:i/>
          <w:color w:val="000000"/>
          <w:sz w:val="27"/>
          <w:szCs w:val="27"/>
        </w:rPr>
      </w:pPr>
      <w:r w:rsidRPr="00340749">
        <w:rPr>
          <w:rFonts w:ascii="Geogrotesque W01" w:hAnsi="Geogrotesque W01" w:cs="Arial"/>
          <w:b/>
          <w:i/>
          <w:color w:val="000000"/>
          <w:sz w:val="27"/>
          <w:szCs w:val="27"/>
        </w:rPr>
        <w:t>DH mener</w:t>
      </w:r>
      <w:r w:rsidR="00340749">
        <w:rPr>
          <w:rFonts w:ascii="Geogrotesque W01" w:hAnsi="Geogrotesque W01" w:cs="Arial"/>
          <w:i/>
          <w:color w:val="000000"/>
          <w:sz w:val="27"/>
          <w:szCs w:val="27"/>
        </w:rPr>
        <w:t xml:space="preserve">, at det </w:t>
      </w:r>
      <w:r w:rsidRPr="00263CE6">
        <w:rPr>
          <w:rFonts w:ascii="Geogrotesque W01" w:hAnsi="Geogrotesque W01" w:cs="Arial"/>
          <w:i/>
          <w:color w:val="000000"/>
          <w:sz w:val="27"/>
          <w:szCs w:val="27"/>
        </w:rPr>
        <w:t>er positivt, at omprioriteringsbidraget på erhvervsuddannelserne afskaffes. Der er ingen specifikke forbedringer for elever med handicap i EUD-aftalen. DH er bekymret for, at indførelsen af en prøve i de obligatoriske praktiske/musiske valgfag kan udgøre en barriere for elever med handicaps muligheder for at fortsætte i en ungdomsuddannelse på samme måde som indførelsen af idræt som prøvefag kan være en barriere for elever, der på grund af handicap har været fritaget for idræt i skolen.</w:t>
      </w:r>
    </w:p>
    <w:p w14:paraId="60357840" w14:textId="77777777" w:rsidR="00340749" w:rsidRDefault="00340749" w:rsidP="00340749">
      <w:pPr>
        <w:jc w:val="left"/>
        <w:rPr>
          <w:sz w:val="22"/>
        </w:rPr>
      </w:pPr>
      <w:bookmarkStart w:id="14" w:name="_Toc531787926"/>
      <w:r w:rsidRPr="00340749">
        <w:rPr>
          <w:rStyle w:val="Overskrift2Tegn"/>
        </w:rPr>
        <w:t>Affald i etageejendomme</w:t>
      </w:r>
      <w:bookmarkEnd w:id="14"/>
      <w:r w:rsidRPr="00340749">
        <w:rPr>
          <w:rStyle w:val="Overskrift2Tegn"/>
        </w:rPr>
        <w:br/>
      </w:r>
      <w:r>
        <w:t xml:space="preserve">I bygningsreglementet (BR18) gælder et funktionskrav om, at der ved opførelse af boliger skal etableres affaldssystemer, idet bygherrer selv kan vælge den konkrete løsning, som passer bedst til det enkelte byggeri. Kravet kan opfyldes med forskellige typer affaldssystemer, der lever op til hensyn til kildesortering, sundhed, energiforbrug samt komfort, samtidig med, at alle beboere selv kan bortskaffe husholdningsaffald. </w:t>
      </w:r>
    </w:p>
    <w:p w14:paraId="56E53BB2" w14:textId="77777777" w:rsidR="00340749" w:rsidRDefault="00340749" w:rsidP="00340749"/>
    <w:p w14:paraId="7E53190C" w14:textId="46200ED1" w:rsidR="00340749" w:rsidRDefault="00340749" w:rsidP="00340749">
      <w:pPr>
        <w:rPr>
          <w:b/>
          <w:bCs/>
        </w:rPr>
      </w:pPr>
      <w:r>
        <w:t>Der gælder endvidere i bygningsreglementet et krav om etablering af elevator i bygninger med 3 etager, hvilket sammen med funktionskravet understøtter ældres og gangbesværedes adgang til at bortskaffe affald. Regeringen og Dansk Folkeparti er enige i, at det er vigtigt at sikre, at ældre og gangbesværede har let adgang til at bortskaffe affald. Parterne vil derfor drøfte, hvordan dette kan sikres.</w:t>
      </w:r>
    </w:p>
    <w:p w14:paraId="54F4CD7B" w14:textId="77777777" w:rsidR="00340749" w:rsidRDefault="00340749" w:rsidP="00340749">
      <w:pPr>
        <w:rPr>
          <w:b/>
          <w:bCs/>
          <w:i/>
          <w:iCs/>
        </w:rPr>
      </w:pPr>
    </w:p>
    <w:p w14:paraId="4E7BC5B8" w14:textId="77777777" w:rsidR="00340749" w:rsidRPr="00340749" w:rsidRDefault="00340749" w:rsidP="00340749">
      <w:pPr>
        <w:jc w:val="left"/>
        <w:rPr>
          <w:i/>
        </w:rPr>
      </w:pPr>
      <w:r w:rsidRPr="00340749">
        <w:rPr>
          <w:b/>
          <w:i/>
        </w:rPr>
        <w:t>DH mener</w:t>
      </w:r>
      <w:r w:rsidRPr="00340749">
        <w:rPr>
          <w:b/>
          <w:i/>
        </w:rPr>
        <w:br/>
      </w:r>
      <w:r w:rsidRPr="00340749">
        <w:rPr>
          <w:i/>
        </w:rPr>
        <w:t xml:space="preserve">I revisionen af bygningsreglementet (BR15) fjernede man reglen om etablering af affaldsskakter i etageejendomme med tre etager og derover. På daværende tidspunkt indvendte DH, at det ville medføre, at ældre og personer med handicap kunne risikere at få mere behov for hjælp fra den kommunale hjemmepleje for at opretholde hygiejniske boliger, hvor affaldet ikke hober sig op ved udgangene fra lejlighederne. </w:t>
      </w:r>
    </w:p>
    <w:p w14:paraId="7D5CFC1B" w14:textId="77777777" w:rsidR="00340749" w:rsidRPr="00340749" w:rsidRDefault="00340749" w:rsidP="00340749">
      <w:pPr>
        <w:rPr>
          <w:i/>
          <w:iCs/>
        </w:rPr>
      </w:pPr>
      <w:r w:rsidRPr="00340749">
        <w:rPr>
          <w:i/>
        </w:rPr>
        <w:lastRenderedPageBreak/>
        <w:t xml:space="preserve">DH ser derfor med stor tilfredshed på, at dette tema igen tages op til drøftelse. Der er behov for at anskue byggeriet ud fra en totaløkonomisk vurdering for samfundet, så en mindre besparelse i ét byggeri ikke bliver til en omkostning for kommunernes social- og sundhedsbudget, og så mennesker med handicap i etageejendomme kan bo under ordentlige forhold. </w:t>
      </w:r>
    </w:p>
    <w:p w14:paraId="3FD7F66B" w14:textId="77777777" w:rsidR="00040B11" w:rsidRDefault="00040B11" w:rsidP="00040B11">
      <w:pPr>
        <w:pStyle w:val="Overskrift2"/>
        <w:rPr>
          <w:rFonts w:ascii="Arial" w:hAnsi="Arial" w:cs="Arial"/>
          <w:sz w:val="18"/>
          <w:szCs w:val="18"/>
        </w:rPr>
      </w:pPr>
      <w:bookmarkStart w:id="15" w:name="_Toc531787927"/>
      <w:r>
        <w:t>Investeringer i infrastruktur frem til 2030</w:t>
      </w:r>
      <w:bookmarkEnd w:id="15"/>
    </w:p>
    <w:p w14:paraId="586EE2A7" w14:textId="77777777" w:rsidR="00040B11" w:rsidRDefault="00040B11" w:rsidP="00040B11">
      <w:pPr>
        <w:rPr>
          <w:rFonts w:cs="Calibri"/>
        </w:rPr>
      </w:pPr>
      <w:r>
        <w:t>Regeringen og Dansk Folkeparti skal drøfte de langsigtede prioriteringer i infrastruktur</w:t>
      </w:r>
    </w:p>
    <w:p w14:paraId="30F9FAF5" w14:textId="77777777" w:rsidR="00040B11" w:rsidRDefault="00040B11" w:rsidP="00040B11">
      <w:r>
        <w:t>i starten af 2019 på baggrund af et oplæg fra regeringen.</w:t>
      </w:r>
    </w:p>
    <w:p w14:paraId="011D5E20" w14:textId="77777777" w:rsidR="00040B11" w:rsidRDefault="00040B11" w:rsidP="00040B11">
      <w:pPr>
        <w:rPr>
          <w:rFonts w:ascii="Arial" w:hAnsi="Arial" w:cs="Arial"/>
          <w:sz w:val="18"/>
          <w:szCs w:val="18"/>
        </w:rPr>
      </w:pPr>
    </w:p>
    <w:p w14:paraId="3BB4915C" w14:textId="507F3EA8" w:rsidR="00040B11" w:rsidRPr="00040B11" w:rsidRDefault="00040B11" w:rsidP="00040B11">
      <w:pPr>
        <w:rPr>
          <w:i/>
        </w:rPr>
      </w:pPr>
      <w:r w:rsidRPr="00040B11">
        <w:rPr>
          <w:b/>
          <w:i/>
        </w:rPr>
        <w:t>DH mener</w:t>
      </w:r>
      <w:r>
        <w:rPr>
          <w:i/>
        </w:rPr>
        <w:t xml:space="preserve">, at det </w:t>
      </w:r>
      <w:r w:rsidRPr="00040B11">
        <w:rPr>
          <w:i/>
        </w:rPr>
        <w:t xml:space="preserve">er vigtigt, at der i den langsigtede plan (transportaftale/plan) bliver fokus på tilgængelighed til kollektiv transport for mennesker med handicap. </w:t>
      </w:r>
    </w:p>
    <w:p w14:paraId="6E4C5508" w14:textId="77777777" w:rsidR="00040B11" w:rsidRDefault="00040B11" w:rsidP="00273E83">
      <w:pPr>
        <w:pStyle w:val="NormalWeb"/>
        <w:spacing w:line="343" w:lineRule="atLeast"/>
        <w:rPr>
          <w:rFonts w:ascii="Geogrotesque W01" w:hAnsi="Geogrotesque W01" w:cs="Arial"/>
          <w:i/>
          <w:color w:val="000000"/>
          <w:sz w:val="27"/>
          <w:szCs w:val="27"/>
        </w:rPr>
      </w:pPr>
    </w:p>
    <w:p w14:paraId="5A81E59C" w14:textId="77777777" w:rsidR="00340749" w:rsidRPr="00263CE6" w:rsidRDefault="00340749" w:rsidP="00273E83">
      <w:pPr>
        <w:pStyle w:val="NormalWeb"/>
        <w:spacing w:line="343" w:lineRule="atLeast"/>
        <w:rPr>
          <w:rFonts w:ascii="Geogrotesque W01" w:hAnsi="Geogrotesque W01" w:cs="Arial"/>
          <w:i/>
          <w:color w:val="000000"/>
          <w:sz w:val="27"/>
          <w:szCs w:val="27"/>
        </w:rPr>
      </w:pPr>
    </w:p>
    <w:p w14:paraId="7AF8A520" w14:textId="77777777" w:rsidR="00273E83" w:rsidRPr="0091390D" w:rsidRDefault="00273E83" w:rsidP="00273E83"/>
    <w:sectPr w:rsidR="00273E83" w:rsidRPr="0091390D" w:rsidSect="00FF6FD2">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6350A" w14:textId="77777777" w:rsidR="00156BC0" w:rsidRDefault="00156BC0">
      <w:r>
        <w:separator/>
      </w:r>
    </w:p>
  </w:endnote>
  <w:endnote w:type="continuationSeparator" w:id="0">
    <w:p w14:paraId="7B01FA7D" w14:textId="77777777" w:rsidR="00156BC0" w:rsidRDefault="0015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grotesque W0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5FAF9" w14:textId="77777777" w:rsidR="00F076A9" w:rsidRDefault="0002114D"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9A5FAFA"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5FAFB" w14:textId="3DB30325" w:rsidR="00F076A9" w:rsidRDefault="0002114D"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665E98">
      <w:rPr>
        <w:rStyle w:val="Sidetal"/>
        <w:rFonts w:eastAsiaTheme="majorEastAsia"/>
        <w:noProof/>
      </w:rPr>
      <w:t>2</w:t>
    </w:r>
    <w:r>
      <w:rPr>
        <w:rStyle w:val="Sidetal"/>
        <w:rFonts w:eastAsiaTheme="majorEastAsia"/>
      </w:rPr>
      <w:fldChar w:fldCharType="end"/>
    </w:r>
  </w:p>
  <w:p w14:paraId="09A5FAFC" w14:textId="77777777" w:rsidR="00F076A9" w:rsidRDefault="00F076A9">
    <w:pPr>
      <w:pStyle w:val="Sidefod"/>
      <w:framePr w:wrap="around" w:vAnchor="text" w:hAnchor="margin" w:xAlign="right" w:y="1"/>
      <w:rPr>
        <w:rStyle w:val="Sidetal"/>
        <w:rFonts w:eastAsiaTheme="majorEastAsia"/>
      </w:rPr>
    </w:pPr>
  </w:p>
  <w:p w14:paraId="09A5FAFD" w14:textId="77777777"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5FAFF" w14:textId="77777777"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DA32F" w14:textId="77777777" w:rsidR="00156BC0" w:rsidRDefault="00156BC0">
      <w:r>
        <w:separator/>
      </w:r>
    </w:p>
  </w:footnote>
  <w:footnote w:type="continuationSeparator" w:id="0">
    <w:p w14:paraId="0CE9E7C9" w14:textId="77777777" w:rsidR="00156BC0" w:rsidRDefault="00156BC0">
      <w:r>
        <w:continuationSeparator/>
      </w:r>
    </w:p>
  </w:footnote>
  <w:footnote w:id="1">
    <w:p w14:paraId="5511FA33" w14:textId="6A6732AB" w:rsidR="00D43C8F" w:rsidRDefault="00D43C8F">
      <w:pPr>
        <w:pStyle w:val="Fodnotetekst"/>
      </w:pPr>
      <w:r>
        <w:rPr>
          <w:rStyle w:val="Fodnotehenvisning"/>
        </w:rPr>
        <w:footnoteRef/>
      </w:r>
      <w:r>
        <w:t xml:space="preserve"> </w:t>
      </w:r>
      <w:r w:rsidRPr="00D43C8F">
        <w:t>Med undtagelse af s</w:t>
      </w:r>
      <w:r w:rsidRPr="00D43C8F">
        <w:rPr>
          <w:rFonts w:eastAsiaTheme="minorHAnsi"/>
        </w:rPr>
        <w:t>elvforsørgelses- og hjemrejseydelsen og overgangsydelsen (tidligere integrationsydelse)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5FAF6" w14:textId="77777777" w:rsidR="00F076A9" w:rsidRDefault="0002114D">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9A5FAF7"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5FAF8"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5FAFE" w14:textId="77777777" w:rsidR="00F20012" w:rsidRDefault="0002114D">
    <w:pPr>
      <w:pStyle w:val="Sidehoved"/>
    </w:pPr>
    <w:r>
      <w:rPr>
        <w:noProof/>
        <w:sz w:val="24"/>
        <w:szCs w:val="24"/>
      </w:rPr>
      <w:drawing>
        <wp:anchor distT="0" distB="0" distL="114300" distR="114300" simplePos="0" relativeHeight="251658240" behindDoc="0" locked="0" layoutInCell="1" allowOverlap="1" wp14:anchorId="09A5FB00" wp14:editId="09A5FB01">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2926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C20"/>
    <w:multiLevelType w:val="hybridMultilevel"/>
    <w:tmpl w:val="3B1C07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2BD1847"/>
    <w:multiLevelType w:val="hybridMultilevel"/>
    <w:tmpl w:val="46048A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1C1B6178"/>
    <w:multiLevelType w:val="hybridMultilevel"/>
    <w:tmpl w:val="FBB2792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1C96F2C"/>
    <w:multiLevelType w:val="hybridMultilevel"/>
    <w:tmpl w:val="5122E1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02114D"/>
    <w:rsid w:val="00040B11"/>
    <w:rsid w:val="000E0F25"/>
    <w:rsid w:val="000F104B"/>
    <w:rsid w:val="001219B7"/>
    <w:rsid w:val="00156BC0"/>
    <w:rsid w:val="001851A3"/>
    <w:rsid w:val="00224498"/>
    <w:rsid w:val="002523DC"/>
    <w:rsid w:val="00273E83"/>
    <w:rsid w:val="002924E6"/>
    <w:rsid w:val="002B02F4"/>
    <w:rsid w:val="002E6939"/>
    <w:rsid w:val="00340749"/>
    <w:rsid w:val="003B2186"/>
    <w:rsid w:val="00435B7F"/>
    <w:rsid w:val="004C71BD"/>
    <w:rsid w:val="004F44E6"/>
    <w:rsid w:val="004F50F1"/>
    <w:rsid w:val="005B77F4"/>
    <w:rsid w:val="00665E98"/>
    <w:rsid w:val="006A2808"/>
    <w:rsid w:val="006E06F1"/>
    <w:rsid w:val="006E724E"/>
    <w:rsid w:val="00837245"/>
    <w:rsid w:val="00841F93"/>
    <w:rsid w:val="0086356F"/>
    <w:rsid w:val="008733D7"/>
    <w:rsid w:val="0088558C"/>
    <w:rsid w:val="008E0FE5"/>
    <w:rsid w:val="008E1678"/>
    <w:rsid w:val="008F7286"/>
    <w:rsid w:val="0090614E"/>
    <w:rsid w:val="00910B09"/>
    <w:rsid w:val="0091390D"/>
    <w:rsid w:val="009212DE"/>
    <w:rsid w:val="00983E84"/>
    <w:rsid w:val="009903D4"/>
    <w:rsid w:val="009A0095"/>
    <w:rsid w:val="009C7975"/>
    <w:rsid w:val="00AE74AA"/>
    <w:rsid w:val="00BC551E"/>
    <w:rsid w:val="00BC6FFA"/>
    <w:rsid w:val="00CE7183"/>
    <w:rsid w:val="00D43C8F"/>
    <w:rsid w:val="00DC39F3"/>
    <w:rsid w:val="00E31D37"/>
    <w:rsid w:val="00F076A9"/>
    <w:rsid w:val="00F20012"/>
    <w:rsid w:val="00FF3706"/>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2523DC"/>
    <w:rPr>
      <w:color w:val="0000FF" w:themeColor="hyperlink"/>
      <w:u w:val="single"/>
    </w:rPr>
  </w:style>
  <w:style w:type="paragraph" w:styleId="Brdtekst">
    <w:name w:val="Body Text"/>
    <w:link w:val="BrdtekstTegn"/>
    <w:semiHidden/>
    <w:unhideWhenUsed/>
    <w:rsid w:val="002523DC"/>
    <w:pPr>
      <w:spacing w:after="0" w:line="240" w:lineRule="auto"/>
      <w:jc w:val="both"/>
    </w:pPr>
    <w:rPr>
      <w:rFonts w:ascii="Times New Roman" w:eastAsia="Arial Unicode MS" w:hAnsi="Times New Roman" w:cs="Arial Unicode MS"/>
      <w:color w:val="000000"/>
      <w:sz w:val="26"/>
      <w:szCs w:val="26"/>
      <w:u w:color="000000"/>
      <w:lang w:eastAsia="da-DK"/>
    </w:rPr>
  </w:style>
  <w:style w:type="character" w:customStyle="1" w:styleId="BrdtekstTegn">
    <w:name w:val="Brødtekst Tegn"/>
    <w:basedOn w:val="Standardskrifttypeiafsnit"/>
    <w:link w:val="Brdtekst"/>
    <w:semiHidden/>
    <w:rsid w:val="002523DC"/>
    <w:rPr>
      <w:rFonts w:ascii="Times New Roman" w:eastAsia="Arial Unicode MS" w:hAnsi="Times New Roman" w:cs="Arial Unicode MS"/>
      <w:color w:val="000000"/>
      <w:sz w:val="26"/>
      <w:szCs w:val="26"/>
      <w:u w:color="000000"/>
      <w:lang w:eastAsia="da-DK"/>
    </w:rPr>
  </w:style>
  <w:style w:type="paragraph" w:styleId="Listeafsnit">
    <w:name w:val="List Paragraph"/>
    <w:basedOn w:val="Normal"/>
    <w:uiPriority w:val="34"/>
    <w:qFormat/>
    <w:rsid w:val="002523DC"/>
    <w:pPr>
      <w:overflowPunct/>
      <w:autoSpaceDE/>
      <w:autoSpaceDN/>
      <w:adjustRightInd/>
      <w:ind w:left="720"/>
      <w:jc w:val="left"/>
      <w:textAlignment w:val="auto"/>
    </w:pPr>
    <w:rPr>
      <w:rFonts w:ascii="Calibri" w:eastAsiaTheme="minorHAnsi" w:hAnsi="Calibri" w:cs="Calibri"/>
      <w:sz w:val="22"/>
      <w:szCs w:val="22"/>
      <w:lang w:eastAsia="en-US"/>
    </w:rPr>
  </w:style>
  <w:style w:type="paragraph" w:customStyle="1" w:styleId="Default">
    <w:name w:val="Default"/>
    <w:rsid w:val="0002114D"/>
    <w:pPr>
      <w:autoSpaceDE w:val="0"/>
      <w:autoSpaceDN w:val="0"/>
      <w:adjustRightInd w:val="0"/>
      <w:spacing w:after="0" w:line="240" w:lineRule="auto"/>
    </w:pPr>
    <w:rPr>
      <w:rFonts w:ascii="Arial" w:hAnsi="Arial" w:cs="Arial"/>
      <w:color w:val="000000"/>
      <w:sz w:val="24"/>
      <w:szCs w:val="24"/>
    </w:rPr>
  </w:style>
  <w:style w:type="paragraph" w:styleId="Overskrift">
    <w:name w:val="TOC Heading"/>
    <w:basedOn w:val="Overskrift1"/>
    <w:next w:val="Normal"/>
    <w:uiPriority w:val="39"/>
    <w:unhideWhenUsed/>
    <w:qFormat/>
    <w:rsid w:val="000E0F25"/>
    <w:pPr>
      <w:spacing w:before="240" w:line="259" w:lineRule="auto"/>
      <w:outlineLvl w:val="9"/>
    </w:pPr>
    <w:rPr>
      <w:rFonts w:asciiTheme="majorHAnsi" w:hAnsiTheme="majorHAnsi"/>
      <w:b w:val="0"/>
      <w:bCs w:val="0"/>
      <w:color w:val="365F91" w:themeColor="accent1" w:themeShade="BF"/>
      <w:szCs w:val="32"/>
      <w:lang w:eastAsia="da-DK"/>
    </w:rPr>
  </w:style>
  <w:style w:type="paragraph" w:styleId="Indholdsfortegnelse1">
    <w:name w:val="toc 1"/>
    <w:basedOn w:val="Normal"/>
    <w:next w:val="Normal"/>
    <w:autoRedefine/>
    <w:uiPriority w:val="39"/>
    <w:unhideWhenUsed/>
    <w:rsid w:val="000E0F25"/>
    <w:pPr>
      <w:spacing w:after="100"/>
    </w:pPr>
  </w:style>
  <w:style w:type="paragraph" w:styleId="Indholdsfortegnelse2">
    <w:name w:val="toc 2"/>
    <w:basedOn w:val="Normal"/>
    <w:next w:val="Normal"/>
    <w:autoRedefine/>
    <w:uiPriority w:val="39"/>
    <w:unhideWhenUsed/>
    <w:rsid w:val="000E0F25"/>
    <w:pPr>
      <w:spacing w:after="100"/>
      <w:ind w:left="260"/>
    </w:pPr>
  </w:style>
  <w:style w:type="paragraph" w:styleId="Markeringsbobletekst">
    <w:name w:val="Balloon Text"/>
    <w:basedOn w:val="Normal"/>
    <w:link w:val="MarkeringsbobletekstTegn"/>
    <w:uiPriority w:val="99"/>
    <w:semiHidden/>
    <w:unhideWhenUsed/>
    <w:rsid w:val="005B77F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77F4"/>
    <w:rPr>
      <w:rFonts w:ascii="Tahoma" w:eastAsia="Times New Roman" w:hAnsi="Tahoma" w:cs="Tahoma"/>
      <w:sz w:val="16"/>
      <w:szCs w:val="16"/>
      <w:lang w:eastAsia="da-DK"/>
    </w:rPr>
  </w:style>
  <w:style w:type="character" w:styleId="Strk">
    <w:name w:val="Strong"/>
    <w:basedOn w:val="Standardskrifttypeiafsnit"/>
    <w:uiPriority w:val="22"/>
    <w:qFormat/>
    <w:rsid w:val="00273E83"/>
    <w:rPr>
      <w:b/>
      <w:bCs/>
    </w:rPr>
  </w:style>
  <w:style w:type="paragraph" w:styleId="NormalWeb">
    <w:name w:val="Normal (Web)"/>
    <w:basedOn w:val="Normal"/>
    <w:uiPriority w:val="99"/>
    <w:semiHidden/>
    <w:unhideWhenUsed/>
    <w:rsid w:val="00273E83"/>
    <w:pPr>
      <w:overflowPunct/>
      <w:autoSpaceDE/>
      <w:autoSpaceDN/>
      <w:adjustRightInd/>
      <w:spacing w:after="150"/>
      <w:jc w:val="left"/>
      <w:textAlignment w:val="auto"/>
    </w:pPr>
    <w:rPr>
      <w:sz w:val="24"/>
      <w:szCs w:val="24"/>
    </w:rPr>
  </w:style>
  <w:style w:type="paragraph" w:styleId="Fodnotetekst">
    <w:name w:val="footnote text"/>
    <w:basedOn w:val="Normal"/>
    <w:link w:val="FodnotetekstTegn"/>
    <w:uiPriority w:val="99"/>
    <w:semiHidden/>
    <w:unhideWhenUsed/>
    <w:rsid w:val="00D43C8F"/>
    <w:rPr>
      <w:sz w:val="20"/>
    </w:rPr>
  </w:style>
  <w:style w:type="character" w:customStyle="1" w:styleId="FodnotetekstTegn">
    <w:name w:val="Fodnotetekst Tegn"/>
    <w:basedOn w:val="Standardskrifttypeiafsnit"/>
    <w:link w:val="Fodnotetekst"/>
    <w:uiPriority w:val="99"/>
    <w:semiHidden/>
    <w:rsid w:val="00D43C8F"/>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D43C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2523DC"/>
    <w:rPr>
      <w:color w:val="0000FF" w:themeColor="hyperlink"/>
      <w:u w:val="single"/>
    </w:rPr>
  </w:style>
  <w:style w:type="paragraph" w:styleId="Brdtekst">
    <w:name w:val="Body Text"/>
    <w:link w:val="BrdtekstTegn"/>
    <w:semiHidden/>
    <w:unhideWhenUsed/>
    <w:rsid w:val="002523DC"/>
    <w:pPr>
      <w:spacing w:after="0" w:line="240" w:lineRule="auto"/>
      <w:jc w:val="both"/>
    </w:pPr>
    <w:rPr>
      <w:rFonts w:ascii="Times New Roman" w:eastAsia="Arial Unicode MS" w:hAnsi="Times New Roman" w:cs="Arial Unicode MS"/>
      <w:color w:val="000000"/>
      <w:sz w:val="26"/>
      <w:szCs w:val="26"/>
      <w:u w:color="000000"/>
      <w:lang w:eastAsia="da-DK"/>
    </w:rPr>
  </w:style>
  <w:style w:type="character" w:customStyle="1" w:styleId="BrdtekstTegn">
    <w:name w:val="Brødtekst Tegn"/>
    <w:basedOn w:val="Standardskrifttypeiafsnit"/>
    <w:link w:val="Brdtekst"/>
    <w:semiHidden/>
    <w:rsid w:val="002523DC"/>
    <w:rPr>
      <w:rFonts w:ascii="Times New Roman" w:eastAsia="Arial Unicode MS" w:hAnsi="Times New Roman" w:cs="Arial Unicode MS"/>
      <w:color w:val="000000"/>
      <w:sz w:val="26"/>
      <w:szCs w:val="26"/>
      <w:u w:color="000000"/>
      <w:lang w:eastAsia="da-DK"/>
    </w:rPr>
  </w:style>
  <w:style w:type="paragraph" w:styleId="Listeafsnit">
    <w:name w:val="List Paragraph"/>
    <w:basedOn w:val="Normal"/>
    <w:uiPriority w:val="34"/>
    <w:qFormat/>
    <w:rsid w:val="002523DC"/>
    <w:pPr>
      <w:overflowPunct/>
      <w:autoSpaceDE/>
      <w:autoSpaceDN/>
      <w:adjustRightInd/>
      <w:ind w:left="720"/>
      <w:jc w:val="left"/>
      <w:textAlignment w:val="auto"/>
    </w:pPr>
    <w:rPr>
      <w:rFonts w:ascii="Calibri" w:eastAsiaTheme="minorHAnsi" w:hAnsi="Calibri" w:cs="Calibri"/>
      <w:sz w:val="22"/>
      <w:szCs w:val="22"/>
      <w:lang w:eastAsia="en-US"/>
    </w:rPr>
  </w:style>
  <w:style w:type="paragraph" w:customStyle="1" w:styleId="Default">
    <w:name w:val="Default"/>
    <w:rsid w:val="0002114D"/>
    <w:pPr>
      <w:autoSpaceDE w:val="0"/>
      <w:autoSpaceDN w:val="0"/>
      <w:adjustRightInd w:val="0"/>
      <w:spacing w:after="0" w:line="240" w:lineRule="auto"/>
    </w:pPr>
    <w:rPr>
      <w:rFonts w:ascii="Arial" w:hAnsi="Arial" w:cs="Arial"/>
      <w:color w:val="000000"/>
      <w:sz w:val="24"/>
      <w:szCs w:val="24"/>
    </w:rPr>
  </w:style>
  <w:style w:type="paragraph" w:styleId="Overskrift">
    <w:name w:val="TOC Heading"/>
    <w:basedOn w:val="Overskrift1"/>
    <w:next w:val="Normal"/>
    <w:uiPriority w:val="39"/>
    <w:unhideWhenUsed/>
    <w:qFormat/>
    <w:rsid w:val="000E0F25"/>
    <w:pPr>
      <w:spacing w:before="240" w:line="259" w:lineRule="auto"/>
      <w:outlineLvl w:val="9"/>
    </w:pPr>
    <w:rPr>
      <w:rFonts w:asciiTheme="majorHAnsi" w:hAnsiTheme="majorHAnsi"/>
      <w:b w:val="0"/>
      <w:bCs w:val="0"/>
      <w:color w:val="365F91" w:themeColor="accent1" w:themeShade="BF"/>
      <w:szCs w:val="32"/>
      <w:lang w:eastAsia="da-DK"/>
    </w:rPr>
  </w:style>
  <w:style w:type="paragraph" w:styleId="Indholdsfortegnelse1">
    <w:name w:val="toc 1"/>
    <w:basedOn w:val="Normal"/>
    <w:next w:val="Normal"/>
    <w:autoRedefine/>
    <w:uiPriority w:val="39"/>
    <w:unhideWhenUsed/>
    <w:rsid w:val="000E0F25"/>
    <w:pPr>
      <w:spacing w:after="100"/>
    </w:pPr>
  </w:style>
  <w:style w:type="paragraph" w:styleId="Indholdsfortegnelse2">
    <w:name w:val="toc 2"/>
    <w:basedOn w:val="Normal"/>
    <w:next w:val="Normal"/>
    <w:autoRedefine/>
    <w:uiPriority w:val="39"/>
    <w:unhideWhenUsed/>
    <w:rsid w:val="000E0F25"/>
    <w:pPr>
      <w:spacing w:after="100"/>
      <w:ind w:left="260"/>
    </w:pPr>
  </w:style>
  <w:style w:type="paragraph" w:styleId="Markeringsbobletekst">
    <w:name w:val="Balloon Text"/>
    <w:basedOn w:val="Normal"/>
    <w:link w:val="MarkeringsbobletekstTegn"/>
    <w:uiPriority w:val="99"/>
    <w:semiHidden/>
    <w:unhideWhenUsed/>
    <w:rsid w:val="005B77F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77F4"/>
    <w:rPr>
      <w:rFonts w:ascii="Tahoma" w:eastAsia="Times New Roman" w:hAnsi="Tahoma" w:cs="Tahoma"/>
      <w:sz w:val="16"/>
      <w:szCs w:val="16"/>
      <w:lang w:eastAsia="da-DK"/>
    </w:rPr>
  </w:style>
  <w:style w:type="character" w:styleId="Strk">
    <w:name w:val="Strong"/>
    <w:basedOn w:val="Standardskrifttypeiafsnit"/>
    <w:uiPriority w:val="22"/>
    <w:qFormat/>
    <w:rsid w:val="00273E83"/>
    <w:rPr>
      <w:b/>
      <w:bCs/>
    </w:rPr>
  </w:style>
  <w:style w:type="paragraph" w:styleId="NormalWeb">
    <w:name w:val="Normal (Web)"/>
    <w:basedOn w:val="Normal"/>
    <w:uiPriority w:val="99"/>
    <w:semiHidden/>
    <w:unhideWhenUsed/>
    <w:rsid w:val="00273E83"/>
    <w:pPr>
      <w:overflowPunct/>
      <w:autoSpaceDE/>
      <w:autoSpaceDN/>
      <w:adjustRightInd/>
      <w:spacing w:after="150"/>
      <w:jc w:val="left"/>
      <w:textAlignment w:val="auto"/>
    </w:pPr>
    <w:rPr>
      <w:sz w:val="24"/>
      <w:szCs w:val="24"/>
    </w:rPr>
  </w:style>
  <w:style w:type="paragraph" w:styleId="Fodnotetekst">
    <w:name w:val="footnote text"/>
    <w:basedOn w:val="Normal"/>
    <w:link w:val="FodnotetekstTegn"/>
    <w:uiPriority w:val="99"/>
    <w:semiHidden/>
    <w:unhideWhenUsed/>
    <w:rsid w:val="00D43C8F"/>
    <w:rPr>
      <w:sz w:val="20"/>
    </w:rPr>
  </w:style>
  <w:style w:type="character" w:customStyle="1" w:styleId="FodnotetekstTegn">
    <w:name w:val="Fodnotetekst Tegn"/>
    <w:basedOn w:val="Standardskrifttypeiafsnit"/>
    <w:link w:val="Fodnotetekst"/>
    <w:uiPriority w:val="99"/>
    <w:semiHidden/>
    <w:rsid w:val="00D43C8F"/>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D43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179">
      <w:bodyDiv w:val="1"/>
      <w:marLeft w:val="0"/>
      <w:marRight w:val="0"/>
      <w:marTop w:val="0"/>
      <w:marBottom w:val="0"/>
      <w:divBdr>
        <w:top w:val="none" w:sz="0" w:space="0" w:color="auto"/>
        <w:left w:val="none" w:sz="0" w:space="0" w:color="auto"/>
        <w:bottom w:val="none" w:sz="0" w:space="0" w:color="auto"/>
        <w:right w:val="none" w:sz="0" w:space="0" w:color="auto"/>
      </w:divBdr>
    </w:div>
    <w:div w:id="636111434">
      <w:bodyDiv w:val="1"/>
      <w:marLeft w:val="0"/>
      <w:marRight w:val="0"/>
      <w:marTop w:val="0"/>
      <w:marBottom w:val="0"/>
      <w:divBdr>
        <w:top w:val="none" w:sz="0" w:space="0" w:color="auto"/>
        <w:left w:val="none" w:sz="0" w:space="0" w:color="auto"/>
        <w:bottom w:val="none" w:sz="0" w:space="0" w:color="auto"/>
        <w:right w:val="none" w:sz="0" w:space="0" w:color="auto"/>
      </w:divBdr>
    </w:div>
    <w:div w:id="654377748">
      <w:bodyDiv w:val="1"/>
      <w:marLeft w:val="0"/>
      <w:marRight w:val="0"/>
      <w:marTop w:val="0"/>
      <w:marBottom w:val="0"/>
      <w:divBdr>
        <w:top w:val="none" w:sz="0" w:space="0" w:color="auto"/>
        <w:left w:val="none" w:sz="0" w:space="0" w:color="auto"/>
        <w:bottom w:val="none" w:sz="0" w:space="0" w:color="auto"/>
        <w:right w:val="none" w:sz="0" w:space="0" w:color="auto"/>
      </w:divBdr>
    </w:div>
    <w:div w:id="905258566">
      <w:bodyDiv w:val="1"/>
      <w:marLeft w:val="0"/>
      <w:marRight w:val="0"/>
      <w:marTop w:val="0"/>
      <w:marBottom w:val="0"/>
      <w:divBdr>
        <w:top w:val="none" w:sz="0" w:space="0" w:color="auto"/>
        <w:left w:val="none" w:sz="0" w:space="0" w:color="auto"/>
        <w:bottom w:val="none" w:sz="0" w:space="0" w:color="auto"/>
        <w:right w:val="none" w:sz="0" w:space="0" w:color="auto"/>
      </w:divBdr>
    </w:div>
    <w:div w:id="1294826367">
      <w:bodyDiv w:val="1"/>
      <w:marLeft w:val="0"/>
      <w:marRight w:val="0"/>
      <w:marTop w:val="0"/>
      <w:marBottom w:val="0"/>
      <w:divBdr>
        <w:top w:val="none" w:sz="0" w:space="0" w:color="auto"/>
        <w:left w:val="none" w:sz="0" w:space="0" w:color="auto"/>
        <w:bottom w:val="none" w:sz="0" w:space="0" w:color="auto"/>
        <w:right w:val="none" w:sz="0" w:space="0" w:color="auto"/>
      </w:divBdr>
    </w:div>
    <w:div w:id="20629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vm.dk/erhvervsuddannelser/eudafta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0AD0994314104693E7CDCD55BB58AA" ma:contentTypeVersion="0" ma:contentTypeDescription="Create a new document." ma:contentTypeScope="" ma:versionID="7234ca34fe943a28aa6a1116aa5b00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D2FC1-4A7E-4278-994D-86668904EDAC}">
  <ds:schemaRefs>
    <ds:schemaRef ds:uri="http://schemas.microsoft.com/sharepoint/v3/contenttype/forms"/>
  </ds:schemaRefs>
</ds:datastoreItem>
</file>

<file path=customXml/itemProps2.xml><?xml version="1.0" encoding="utf-8"?>
<ds:datastoreItem xmlns:ds="http://schemas.openxmlformats.org/officeDocument/2006/customXml" ds:itemID="{EC766A8C-E68F-4DDC-A752-DB0B35766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619438-7BD7-4990-BC3D-D1E7637C71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C0D7DE-0D95-472A-B551-A50E1184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13232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Karen Kristine Grove Sørensen</cp:lastModifiedBy>
  <cp:revision>2</cp:revision>
  <dcterms:created xsi:type="dcterms:W3CDTF">2018-12-06T13:52:00Z</dcterms:created>
  <dcterms:modified xsi:type="dcterms:W3CDTF">2018-12-06T13:52:00Z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0x010100550AD0994314104693E7CDCD55BB58AA</vt:lpwstr>
  </property>
  <property fmtid="{D5CDD505-2E9C-101B-9397-08002B2CF9AE}" pid="3" name="TeamShareLastOpen">
    <vt:lpwstr>08-11-2018 12:37:47</vt:lpwstr>
  </property>
</Properties>
</file>