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45" w:rsidRPr="006E06F1" w:rsidRDefault="00B20604" w:rsidP="00837245">
      <w:pPr>
        <w:jc w:val="left"/>
        <w:rPr>
          <w:sz w:val="20"/>
        </w:rPr>
      </w:pPr>
      <w:bookmarkStart w:id="0" w:name="_GoBack"/>
      <w:bookmarkEnd w:id="0"/>
      <w:r>
        <w:rPr>
          <w:sz w:val="20"/>
        </w:rPr>
        <w:t xml:space="preserve">Dokument oprettet </w:t>
      </w:r>
      <w:bookmarkStart w:id="1" w:name="dato"/>
      <w:r w:rsidRPr="006E06F1">
        <w:rPr>
          <w:sz w:val="20"/>
        </w:rPr>
        <w:t>09. oktober 2018</w:t>
      </w:r>
      <w:bookmarkEnd w:id="1"/>
    </w:p>
    <w:p w:rsidR="00837245" w:rsidRPr="00DC39F3" w:rsidRDefault="00B20604" w:rsidP="00837245">
      <w:pPr>
        <w:jc w:val="left"/>
        <w:rPr>
          <w:sz w:val="20"/>
        </w:rPr>
      </w:pPr>
      <w:r w:rsidRPr="00DC39F3">
        <w:rPr>
          <w:sz w:val="20"/>
        </w:rPr>
        <w:t xml:space="preserve">Sag </w:t>
      </w:r>
      <w:bookmarkStart w:id="2" w:name="sagsnummer"/>
      <w:r w:rsidRPr="00DC39F3">
        <w:rPr>
          <w:sz w:val="20"/>
        </w:rPr>
        <w:t>27-2016-00650</w:t>
      </w:r>
      <w:bookmarkEnd w:id="2"/>
      <w:r w:rsidRPr="00DC39F3">
        <w:rPr>
          <w:sz w:val="20"/>
        </w:rPr>
        <w:t xml:space="preserve"> – Dok. </w:t>
      </w:r>
      <w:bookmarkStart w:id="3" w:name="dokumentnr"/>
      <w:proofErr w:type="gramStart"/>
      <w:r w:rsidRPr="00DC39F3">
        <w:rPr>
          <w:sz w:val="20"/>
        </w:rPr>
        <w:t>389451</w:t>
      </w:r>
      <w:bookmarkEnd w:id="3"/>
      <w:proofErr w:type="gramEnd"/>
      <w:r w:rsidRPr="00DC39F3">
        <w:rPr>
          <w:sz w:val="20"/>
        </w:rPr>
        <w:t>/</w:t>
      </w:r>
      <w:bookmarkStart w:id="4" w:name="brugerinitialer"/>
      <w:proofErr w:type="spellStart"/>
      <w:r w:rsidRPr="00DC39F3">
        <w:rPr>
          <w:sz w:val="20"/>
        </w:rPr>
        <w:t>avj_dh</w:t>
      </w:r>
      <w:bookmarkEnd w:id="4"/>
      <w:proofErr w:type="spellEnd"/>
    </w:p>
    <w:p w:rsidR="00837245" w:rsidRPr="00DC39F3" w:rsidRDefault="00837245" w:rsidP="00837245"/>
    <w:p w:rsidR="00837245" w:rsidRPr="00DC39F3" w:rsidRDefault="00837245" w:rsidP="00837245"/>
    <w:p w:rsidR="00837245" w:rsidRPr="006E06F1" w:rsidRDefault="00B20604"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Notat om regeringens lovkatalog 2018/2019</w:t>
      </w:r>
      <w:bookmarkEnd w:id="5"/>
    </w:p>
    <w:p w:rsidR="00837245" w:rsidRPr="0091390D" w:rsidRDefault="00837245" w:rsidP="00837245"/>
    <w:p w:rsidR="00837245" w:rsidRPr="0091390D" w:rsidRDefault="00837245" w:rsidP="00837245"/>
    <w:p w:rsidR="00A801DA" w:rsidRPr="00FA28D2" w:rsidRDefault="00A801DA" w:rsidP="00A801DA">
      <w:pPr>
        <w:textAlignment w:val="auto"/>
        <w:rPr>
          <w:i/>
          <w:u w:val="single"/>
        </w:rPr>
      </w:pPr>
      <w:r w:rsidRPr="00FA28D2">
        <w:rPr>
          <w:i/>
          <w:u w:val="single"/>
        </w:rPr>
        <w:t>Resumé</w:t>
      </w:r>
    </w:p>
    <w:p w:rsidR="00A801DA" w:rsidRPr="00A801DA" w:rsidRDefault="00A801DA" w:rsidP="00A801DA">
      <w:pPr>
        <w:textAlignment w:val="auto"/>
        <w:rPr>
          <w:i/>
          <w:strike/>
        </w:rPr>
      </w:pPr>
      <w:r w:rsidRPr="00FA28D2">
        <w:rPr>
          <w:i/>
        </w:rPr>
        <w:t>Notatet gennemgår regeringens lovkatalog set med handicap-briller.</w:t>
      </w:r>
      <w:r w:rsidR="00B20604">
        <w:rPr>
          <w:i/>
        </w:rPr>
        <w:t xml:space="preserve"> Lovkataloget indeholder blandt andet den lovgivningsmæssige udmøntning af regeringens beskæftigelsesudspil til mennesker med handicap, resultatet af forhandlingerne om revision og fleksjob- og førtidspensionsreformen (som endnu ikke er gået i gang), nye </w:t>
      </w:r>
      <w:proofErr w:type="gramStart"/>
      <w:r w:rsidR="00B20604">
        <w:rPr>
          <w:i/>
        </w:rPr>
        <w:t>regler for magtanvendelse og udmøntningen af medieaftalen.</w:t>
      </w:r>
      <w:proofErr w:type="gramEnd"/>
      <w:r w:rsidR="00B20604">
        <w:rPr>
          <w:i/>
        </w:rPr>
        <w:t xml:space="preserve"> </w:t>
      </w:r>
    </w:p>
    <w:p w:rsidR="00A801DA" w:rsidRPr="00FA28D2" w:rsidRDefault="00A801DA" w:rsidP="00A801DA">
      <w:pPr>
        <w:textAlignment w:val="auto"/>
        <w:rPr>
          <w:i/>
        </w:rPr>
      </w:pPr>
    </w:p>
    <w:p w:rsidR="00A801DA" w:rsidRPr="00FA28D2" w:rsidRDefault="00A801DA" w:rsidP="00A801DA">
      <w:pPr>
        <w:textAlignment w:val="auto"/>
        <w:rPr>
          <w:b/>
          <w:i/>
        </w:rPr>
      </w:pPr>
      <w:r w:rsidRPr="00FA28D2">
        <w:rPr>
          <w:b/>
        </w:rPr>
        <w:t>Indledning</w:t>
      </w:r>
      <w:r w:rsidRPr="00FA28D2">
        <w:rPr>
          <w:b/>
          <w:i/>
        </w:rPr>
        <w:t xml:space="preserve"> </w:t>
      </w:r>
    </w:p>
    <w:p w:rsidR="00A801DA" w:rsidRDefault="00A801DA" w:rsidP="00A801DA">
      <w:pPr>
        <w:textAlignment w:val="auto"/>
      </w:pPr>
      <w:r w:rsidRPr="00FA28D2">
        <w:t xml:space="preserve">Regeringen har fremlagt sit </w:t>
      </w:r>
      <w:r>
        <w:t>lovkatalog for</w:t>
      </w:r>
      <w:r w:rsidRPr="00FA28D2">
        <w:t xml:space="preserve"> Folketingsåret 201</w:t>
      </w:r>
      <w:r>
        <w:t>8/2019</w:t>
      </w:r>
      <w:r w:rsidRPr="00FA28D2">
        <w:rPr>
          <w:vertAlign w:val="superscript"/>
        </w:rPr>
        <w:footnoteReference w:id="1"/>
      </w:r>
      <w:r>
        <w:t>.</w:t>
      </w:r>
      <w:r w:rsidRPr="00FA28D2">
        <w:t xml:space="preserve"> Notatet screener lovkataloget og omtaler kort forslag</w:t>
      </w:r>
      <w:r>
        <w:t xml:space="preserve"> af betydning </w:t>
      </w:r>
      <w:r w:rsidRPr="00FA28D2">
        <w:t xml:space="preserve">for mennesker med handicap. </w:t>
      </w:r>
    </w:p>
    <w:p w:rsidR="00A801DA" w:rsidRDefault="00A801DA" w:rsidP="00A801DA">
      <w:pPr>
        <w:pStyle w:val="Overskrift2"/>
      </w:pPr>
      <w:r>
        <w:t>Beskæftigelsesministeren</w:t>
      </w:r>
    </w:p>
    <w:p w:rsidR="00A801DA" w:rsidRPr="00A801DA" w:rsidRDefault="00A801DA" w:rsidP="00A801DA">
      <w:r w:rsidRPr="00A801DA">
        <w:rPr>
          <w:b/>
        </w:rPr>
        <w:t>Ændring af lov om sygedagpenge og lov om aktiv socialpolitik</w:t>
      </w:r>
      <w:r w:rsidRPr="00A801DA">
        <w:t xml:space="preserve"> (Arbejdsgivers ret til at blive gjort bekendt med helbredsmæssige og lægelige oplysninger om lønmodtageren i sager om sygedagpenge og jobafklaringsforløb) </w:t>
      </w:r>
    </w:p>
    <w:p w:rsidR="00A801DA" w:rsidRDefault="00A801DA" w:rsidP="00A801DA"/>
    <w:p w:rsidR="00A801DA" w:rsidRDefault="00A801DA" w:rsidP="00A801DA">
      <w:pPr>
        <w:rPr>
          <w:i/>
          <w:iCs/>
        </w:rPr>
      </w:pPr>
      <w:r w:rsidRPr="00A801DA">
        <w:rPr>
          <w:iCs/>
        </w:rPr>
        <w:t xml:space="preserve">Lovforslaget skal sikre, at arbejdsgivere som udgangspunkt ikke har ret til indsigt i helbredsmæssige eller lægelige oplysninger i sager om sygedagpenge og ressourceforløbsydelse. </w:t>
      </w:r>
    </w:p>
    <w:p w:rsidR="00A801DA" w:rsidRDefault="00A801DA" w:rsidP="00A801DA">
      <w:pPr>
        <w:rPr>
          <w:i/>
          <w:iCs/>
        </w:rPr>
      </w:pPr>
    </w:p>
    <w:p w:rsidR="00A801DA" w:rsidRDefault="00A801DA" w:rsidP="00A801DA">
      <w:pPr>
        <w:rPr>
          <w:i/>
          <w:iCs/>
        </w:rPr>
      </w:pPr>
      <w:r>
        <w:rPr>
          <w:i/>
          <w:iCs/>
        </w:rPr>
        <w:t xml:space="preserve">Selvom lovforslaget trækker i den rigtige retning, er der stadig grund til bekymring, da arbejdsgiveren fortsat vil have ret til indsigt i oplysningerne, hvis de er væsentlige for, at arbejdsgiveren kan varetage sine økonomiske interesser. DH følger sagen. </w:t>
      </w:r>
    </w:p>
    <w:p w:rsidR="00A801DA" w:rsidRDefault="00A801DA" w:rsidP="00A801DA"/>
    <w:p w:rsidR="00A801DA" w:rsidRDefault="00A801DA" w:rsidP="00A801DA">
      <w:r w:rsidRPr="00A801DA">
        <w:rPr>
          <w:b/>
        </w:rPr>
        <w:t>Ændring af lov om en aktiv beskæftigelsesindsats</w:t>
      </w:r>
      <w:r>
        <w:t xml:space="preserve"> (Forenkling af den økonomiske styring af beskæftigelsesindsatsen)</w:t>
      </w:r>
    </w:p>
    <w:p w:rsidR="00A801DA" w:rsidRPr="00A801DA" w:rsidRDefault="00A801DA" w:rsidP="00A801DA">
      <w:pPr>
        <w:rPr>
          <w:iCs/>
        </w:rPr>
      </w:pPr>
      <w:r w:rsidRPr="00A801DA">
        <w:rPr>
          <w:iCs/>
        </w:rPr>
        <w:t xml:space="preserve">Lovforslaget skal finansiere den erhvervs- og iværksætterpakke som regeringen vedtog i november 2017. Finansieringen findes ved, at kommunerne ikke fremover vil modtage refusion på driftsudgifter til aktivering i vejlednings-, opkvalificerings-, og mentorforløb. </w:t>
      </w:r>
    </w:p>
    <w:p w:rsidR="00A801DA" w:rsidRDefault="00A801DA" w:rsidP="00A801DA">
      <w:pPr>
        <w:rPr>
          <w:i/>
          <w:iCs/>
        </w:rPr>
      </w:pPr>
    </w:p>
    <w:p w:rsidR="00A801DA" w:rsidRDefault="00A801DA" w:rsidP="00A801DA">
      <w:pPr>
        <w:rPr>
          <w:i/>
          <w:iCs/>
        </w:rPr>
      </w:pPr>
      <w:r>
        <w:rPr>
          <w:i/>
          <w:iCs/>
        </w:rPr>
        <w:t xml:space="preserve">Forslaget bekymrer DH, da disse tilbud ofte anvendes af jobcentrene til borgere længst fra arbejdet og vi frygter det betyder, at færre vil få en dyr eller længerevarende indsats i jobcentret. DH følger fortsat sagen. </w:t>
      </w:r>
    </w:p>
    <w:p w:rsidR="00A801DA" w:rsidRDefault="00A801DA" w:rsidP="00A801DA"/>
    <w:p w:rsidR="00A801DA" w:rsidRDefault="00A801DA" w:rsidP="00A801DA">
      <w:r w:rsidRPr="00963DC9">
        <w:rPr>
          <w:b/>
        </w:rPr>
        <w:t xml:space="preserve">Ændring af diverse love </w:t>
      </w:r>
      <w:r w:rsidR="00963DC9" w:rsidRPr="00963DC9">
        <w:rPr>
          <w:b/>
        </w:rPr>
        <w:t>vedr. offentlige ydelser.</w:t>
      </w:r>
      <w:r w:rsidR="00963DC9">
        <w:t xml:space="preserve"> </w:t>
      </w:r>
      <w:r>
        <w:t xml:space="preserve">Ændring af lov om sygedagpenge, lov om en aktiv socialpolitik, lov om organisering og understøttelse af beskæftigelsesindsatsen m.v., lov om social pension, lov om højeste, mellemste, forhøjet almindelig og almindelig førtidspension m.v. og lov om en aktiv beskæftigelsesindsats (Ret til at sige nej til </w:t>
      </w:r>
      <w:r>
        <w:lastRenderedPageBreak/>
        <w:t>lægebehandling uden ydelsesmæssige konsekvenser og mere målrettet indsats for sygemeldte m.v.)</w:t>
      </w:r>
    </w:p>
    <w:p w:rsidR="00A801DA" w:rsidRDefault="00A801DA" w:rsidP="00A801DA"/>
    <w:p w:rsidR="00963DC9" w:rsidRPr="00963DC9" w:rsidRDefault="00A801DA" w:rsidP="00A801DA">
      <w:pPr>
        <w:rPr>
          <w:iCs/>
        </w:rPr>
      </w:pPr>
      <w:r w:rsidRPr="00963DC9">
        <w:rPr>
          <w:iCs/>
        </w:rPr>
        <w:t xml:space="preserve">Lovforslaget skal til dels følge op på drøftelserne blandt partierne bag sygedagpengereformen om at permanentgøre forsøgsordningen, hvor borgere </w:t>
      </w:r>
      <w:proofErr w:type="gramStart"/>
      <w:r w:rsidRPr="00963DC9">
        <w:rPr>
          <w:iCs/>
        </w:rPr>
        <w:t>har kunne</w:t>
      </w:r>
      <w:proofErr w:type="gramEnd"/>
      <w:r w:rsidRPr="00963DC9">
        <w:rPr>
          <w:iCs/>
        </w:rPr>
        <w:t xml:space="preserve"> takke nej til lægebehandling, uden at det vil have betydning for borgeren ydelse. </w:t>
      </w:r>
    </w:p>
    <w:p w:rsidR="00963DC9" w:rsidRDefault="00963DC9" w:rsidP="00A801DA">
      <w:pPr>
        <w:rPr>
          <w:i/>
          <w:iCs/>
        </w:rPr>
      </w:pPr>
    </w:p>
    <w:p w:rsidR="00A801DA" w:rsidRDefault="00A801DA" w:rsidP="00A801DA">
      <w:pPr>
        <w:rPr>
          <w:i/>
          <w:iCs/>
        </w:rPr>
      </w:pPr>
      <w:r>
        <w:rPr>
          <w:i/>
          <w:iCs/>
        </w:rPr>
        <w:t xml:space="preserve">Det er velkomment, at der skal ses på en </w:t>
      </w:r>
      <w:proofErr w:type="spellStart"/>
      <w:r>
        <w:rPr>
          <w:i/>
          <w:iCs/>
        </w:rPr>
        <w:t>permanentgørelse</w:t>
      </w:r>
      <w:proofErr w:type="spellEnd"/>
      <w:r>
        <w:rPr>
          <w:i/>
          <w:iCs/>
        </w:rPr>
        <w:t xml:space="preserve"> af forsøg</w:t>
      </w:r>
      <w:r w:rsidR="00963DC9">
        <w:rPr>
          <w:i/>
          <w:iCs/>
        </w:rPr>
        <w:t>et</w:t>
      </w:r>
      <w:r>
        <w:rPr>
          <w:i/>
          <w:iCs/>
        </w:rPr>
        <w:t xml:space="preserve">, da en borger selvfølgelig med ro skal kunne afvise en behandling, man ikke følger sig tryg ved. Det fremgår samtidig, at man ved lovforslaget kan inkludere eventuelle ændringer i sygedagpengereformen med udgangspunkt i evalueringen. Det vil DH følge. </w:t>
      </w:r>
    </w:p>
    <w:p w:rsidR="00A801DA" w:rsidRDefault="00A801DA" w:rsidP="00A801DA">
      <w:pPr>
        <w:rPr>
          <w:i/>
          <w:iCs/>
        </w:rPr>
      </w:pPr>
    </w:p>
    <w:p w:rsidR="00A801DA" w:rsidRPr="00963DC9" w:rsidRDefault="00A801DA" w:rsidP="00A801DA">
      <w:pPr>
        <w:rPr>
          <w:b/>
        </w:rPr>
      </w:pPr>
      <w:r w:rsidRPr="00963DC9">
        <w:rPr>
          <w:b/>
        </w:rPr>
        <w:t>Lov om en aktiv beskæftigelsesindsats</w:t>
      </w:r>
    </w:p>
    <w:p w:rsidR="00963DC9" w:rsidRPr="00963DC9" w:rsidRDefault="00A801DA" w:rsidP="00A801DA">
      <w:pPr>
        <w:rPr>
          <w:iCs/>
        </w:rPr>
      </w:pPr>
      <w:r w:rsidRPr="00963DC9">
        <w:rPr>
          <w:iCs/>
        </w:rPr>
        <w:t xml:space="preserve">Lovforslaget skal udmønte den nyligt indgåede aftale om en forenkling af hele beskæftigelsesindsatsen, hvilket blandt andet indebærer færre proceskrav og færre målgrupper. Derudover skal hele beskæftigelseslovgivningen gennemskrives. </w:t>
      </w:r>
    </w:p>
    <w:p w:rsidR="00963DC9" w:rsidRDefault="00963DC9" w:rsidP="00A801DA">
      <w:pPr>
        <w:rPr>
          <w:i/>
          <w:iCs/>
        </w:rPr>
      </w:pPr>
    </w:p>
    <w:p w:rsidR="00A801DA" w:rsidRDefault="00A801DA" w:rsidP="00A801DA">
      <w:pPr>
        <w:rPr>
          <w:i/>
          <w:iCs/>
        </w:rPr>
      </w:pPr>
      <w:r>
        <w:rPr>
          <w:i/>
          <w:iCs/>
        </w:rPr>
        <w:t xml:space="preserve">Der forestår fortsat et stort arbejde med at implementere den politiske aftale, som DH følger løbende, blandt andet ved deltagelse i en ministeriel følgegruppe. </w:t>
      </w:r>
    </w:p>
    <w:p w:rsidR="00A801DA" w:rsidRDefault="00A801DA" w:rsidP="00A801DA"/>
    <w:p w:rsidR="00A801DA" w:rsidRPr="00963DC9" w:rsidRDefault="00A801DA" w:rsidP="00A801DA">
      <w:pPr>
        <w:rPr>
          <w:b/>
        </w:rPr>
      </w:pPr>
      <w:r w:rsidRPr="00963DC9">
        <w:rPr>
          <w:b/>
        </w:rPr>
        <w:t>Ændring af lov om kompensation til handicappede i erhverv og lov om en aktiv beskæftigelsesindsats</w:t>
      </w:r>
    </w:p>
    <w:p w:rsidR="00963DC9" w:rsidRPr="00963DC9" w:rsidRDefault="00A801DA" w:rsidP="00A801DA">
      <w:pPr>
        <w:rPr>
          <w:iCs/>
        </w:rPr>
      </w:pPr>
      <w:r w:rsidRPr="00963DC9">
        <w:rPr>
          <w:iCs/>
        </w:rPr>
        <w:t xml:space="preserve">Lovforslaget skal udmønte de elementer, der bliver vedtaget </w:t>
      </w:r>
      <w:r w:rsidR="00963DC9">
        <w:rPr>
          <w:iCs/>
        </w:rPr>
        <w:t xml:space="preserve">som følge af </w:t>
      </w:r>
      <w:r w:rsidRPr="00963DC9">
        <w:rPr>
          <w:iCs/>
        </w:rPr>
        <w:t xml:space="preserve">regeringens udspil ang. beskæftigelse og handicap. </w:t>
      </w:r>
    </w:p>
    <w:p w:rsidR="00963DC9" w:rsidRDefault="00963DC9" w:rsidP="00A801DA">
      <w:pPr>
        <w:rPr>
          <w:i/>
          <w:iCs/>
        </w:rPr>
      </w:pPr>
    </w:p>
    <w:p w:rsidR="00A801DA" w:rsidRDefault="00963DC9" w:rsidP="00A801DA">
      <w:pPr>
        <w:rPr>
          <w:i/>
          <w:iCs/>
        </w:rPr>
      </w:pPr>
      <w:r>
        <w:rPr>
          <w:i/>
          <w:iCs/>
        </w:rPr>
        <w:t>DH er positiv overfor udspillet</w:t>
      </w:r>
      <w:r>
        <w:rPr>
          <w:rStyle w:val="Fodnotehenvisning"/>
          <w:i/>
          <w:iCs/>
        </w:rPr>
        <w:footnoteReference w:id="2"/>
      </w:r>
      <w:r>
        <w:rPr>
          <w:i/>
          <w:iCs/>
        </w:rPr>
        <w:t xml:space="preserve"> og </w:t>
      </w:r>
      <w:r w:rsidR="00A801DA">
        <w:rPr>
          <w:i/>
          <w:iCs/>
        </w:rPr>
        <w:t xml:space="preserve">vil </w:t>
      </w:r>
      <w:r>
        <w:rPr>
          <w:i/>
          <w:iCs/>
        </w:rPr>
        <w:t>s</w:t>
      </w:r>
      <w:r w:rsidR="00A801DA">
        <w:rPr>
          <w:i/>
          <w:iCs/>
        </w:rPr>
        <w:t xml:space="preserve">elvfølgelig følge </w:t>
      </w:r>
      <w:r>
        <w:rPr>
          <w:i/>
          <w:iCs/>
        </w:rPr>
        <w:t xml:space="preserve">arbejdet </w:t>
      </w:r>
      <w:r w:rsidR="00A801DA">
        <w:rPr>
          <w:i/>
          <w:iCs/>
        </w:rPr>
        <w:t xml:space="preserve">nøje. </w:t>
      </w:r>
    </w:p>
    <w:p w:rsidR="00A801DA" w:rsidRDefault="00A801DA" w:rsidP="00A801DA"/>
    <w:p w:rsidR="00A801DA" w:rsidRDefault="00A801DA" w:rsidP="00A801DA">
      <w:r w:rsidRPr="00963DC9">
        <w:rPr>
          <w:b/>
        </w:rPr>
        <w:t>Ændring af lov om aktiv socialpolitik, lov om Udbetaling Danmark og forskellige andre love</w:t>
      </w:r>
      <w:r>
        <w:t xml:space="preserve"> (Forenkling af rådigheds- og sanktionsreglerne samt bekæmpelse af snyd og fejludbetalinger)</w:t>
      </w:r>
    </w:p>
    <w:p w:rsidR="00963DC9" w:rsidRPr="00963DC9" w:rsidRDefault="00A801DA" w:rsidP="00A801DA">
      <w:pPr>
        <w:rPr>
          <w:iCs/>
        </w:rPr>
      </w:pPr>
      <w:r w:rsidRPr="00963DC9">
        <w:rPr>
          <w:iCs/>
        </w:rPr>
        <w:t xml:space="preserve">Lovforslaget skal udmønte resultatet af de politiske forhandlinger, der for tiden pågår, som har til formål at forenkle og skærpe reglerne for sanktioner af kontanthjælpsmodtagere. </w:t>
      </w:r>
    </w:p>
    <w:p w:rsidR="00963DC9" w:rsidRDefault="00963DC9" w:rsidP="00A801DA">
      <w:pPr>
        <w:rPr>
          <w:i/>
          <w:iCs/>
        </w:rPr>
      </w:pPr>
    </w:p>
    <w:p w:rsidR="00A801DA" w:rsidRDefault="00A801DA" w:rsidP="00A801DA">
      <w:pPr>
        <w:rPr>
          <w:i/>
          <w:iCs/>
        </w:rPr>
      </w:pPr>
      <w:r>
        <w:rPr>
          <w:i/>
          <w:iCs/>
        </w:rPr>
        <w:t xml:space="preserve">DH er kritiske overfor regeringens udspil og de igangværende forhandlinger, som vi </w:t>
      </w:r>
      <w:proofErr w:type="gramStart"/>
      <w:r>
        <w:rPr>
          <w:i/>
          <w:iCs/>
        </w:rPr>
        <w:t>frygter vil</w:t>
      </w:r>
      <w:proofErr w:type="gramEnd"/>
      <w:r>
        <w:rPr>
          <w:i/>
          <w:iCs/>
        </w:rPr>
        <w:t xml:space="preserve"> ramme mennesker med handicap utilsigtet. DH har været aktiv over for politikere og med en række debatin</w:t>
      </w:r>
      <w:r w:rsidR="00963DC9">
        <w:rPr>
          <w:i/>
          <w:iCs/>
        </w:rPr>
        <w:t>dlæg om emnet</w:t>
      </w:r>
      <w:r w:rsidR="00963DC9">
        <w:rPr>
          <w:rStyle w:val="Fodnotehenvisning"/>
          <w:i/>
          <w:iCs/>
        </w:rPr>
        <w:footnoteReference w:id="3"/>
      </w:r>
      <w:r w:rsidR="00963DC9">
        <w:rPr>
          <w:i/>
          <w:iCs/>
        </w:rPr>
        <w:t>.</w:t>
      </w:r>
      <w:r>
        <w:rPr>
          <w:i/>
          <w:iCs/>
        </w:rPr>
        <w:t xml:space="preserve"> </w:t>
      </w:r>
    </w:p>
    <w:p w:rsidR="00A801DA" w:rsidRDefault="00A801DA" w:rsidP="00A801DA">
      <w:pPr>
        <w:rPr>
          <w:i/>
          <w:iCs/>
        </w:rPr>
      </w:pPr>
    </w:p>
    <w:p w:rsidR="00A801DA" w:rsidRDefault="00A801DA" w:rsidP="00A801DA">
      <w:r w:rsidRPr="00963DC9">
        <w:rPr>
          <w:b/>
        </w:rPr>
        <w:t>Ændring af lov om en aktiv socialpolitik m.v.</w:t>
      </w:r>
      <w:r>
        <w:t xml:space="preserve"> (Justering af reformen af førtidspension og fleksjob) </w:t>
      </w:r>
    </w:p>
    <w:p w:rsidR="00963DC9" w:rsidRPr="00963DC9" w:rsidRDefault="00A801DA" w:rsidP="00A801DA">
      <w:pPr>
        <w:rPr>
          <w:iCs/>
        </w:rPr>
      </w:pPr>
      <w:r w:rsidRPr="00963DC9">
        <w:rPr>
          <w:iCs/>
        </w:rPr>
        <w:t xml:space="preserve">Lovforslaget skal udmønte resultatet af de politiske forhandlinger der pågår omkring reformen af førtidspension og fleksjob. Det er endnu uvist, hvad resultaterne bliver af forhandlingerne. </w:t>
      </w:r>
    </w:p>
    <w:p w:rsidR="00963DC9" w:rsidRDefault="00963DC9" w:rsidP="00A801DA">
      <w:pPr>
        <w:rPr>
          <w:i/>
          <w:iCs/>
        </w:rPr>
      </w:pPr>
    </w:p>
    <w:p w:rsidR="00A801DA" w:rsidRDefault="00A801DA" w:rsidP="00A801DA">
      <w:pPr>
        <w:rPr>
          <w:i/>
          <w:iCs/>
        </w:rPr>
      </w:pPr>
      <w:r>
        <w:rPr>
          <w:i/>
          <w:iCs/>
        </w:rPr>
        <w:lastRenderedPageBreak/>
        <w:t xml:space="preserve">DH har været særdeles aktive overfor partierne og i medierne, og fortsætter med at lægge pres på for, at der kommer til at ske markante ændringer i reformen hvad angår førtidspension, fleksjob og ressourceforløb. </w:t>
      </w:r>
    </w:p>
    <w:p w:rsidR="0090614E" w:rsidRDefault="00963DC9" w:rsidP="00963DC9">
      <w:pPr>
        <w:pStyle w:val="Overskrift2"/>
      </w:pPr>
      <w:r>
        <w:t>Børne – og socialministeren</w:t>
      </w:r>
    </w:p>
    <w:p w:rsidR="00963DC9" w:rsidRPr="00963DC9" w:rsidRDefault="00963DC9" w:rsidP="00963DC9">
      <w:pPr>
        <w:rPr>
          <w:b/>
          <w:bCs/>
        </w:rPr>
      </w:pPr>
      <w:r>
        <w:rPr>
          <w:b/>
          <w:bCs/>
        </w:rPr>
        <w:t>Lov om Familieretshuset</w:t>
      </w:r>
    </w:p>
    <w:p w:rsidR="00963DC9" w:rsidRPr="00963DC9" w:rsidRDefault="00963DC9" w:rsidP="00963DC9">
      <w:r w:rsidRPr="00963DC9">
        <w:t xml:space="preserve">Lovforslaget har til formål at etablere et samlet familieretligt system, hvor en ny administrativ myndighed (Familieretshuset) samarbejder med domstolssystemet om at skabe enkle og helhedsorienterede forløb for familierne. </w:t>
      </w:r>
    </w:p>
    <w:p w:rsidR="00963DC9" w:rsidRPr="00963DC9" w:rsidRDefault="00963DC9" w:rsidP="00963DC9"/>
    <w:p w:rsidR="00963DC9" w:rsidRPr="00963DC9" w:rsidRDefault="00963DC9" w:rsidP="00963DC9">
      <w:pPr>
        <w:rPr>
          <w:i/>
          <w:iCs/>
        </w:rPr>
      </w:pPr>
      <w:r w:rsidRPr="00963DC9">
        <w:rPr>
          <w:i/>
          <w:iCs/>
        </w:rPr>
        <w:t>DH er overordnet positive over for, at der med et nyt samlet familieretssystem, oprettes et system, hvor barnets tarv vægtes højest, med større fokus på at inddrage andre fagligheder end juridiske. Lovforslaget vil forhåbentligt kunne styrke håndteringen af denne type meget svære sager. DH savner dog, at forhold omkring handicap – særligt forældre med handicap, belyses i forslaget. DH anbefaler, at det nye familieretssystem får en indbygget adgang til relevant specialviden, så fagpersonerne i systemet nemt kan få den sparring, de har brug for, samt at der stilles krav om tilgængelighed</w:t>
      </w:r>
      <w:r>
        <w:rPr>
          <w:rStyle w:val="Fodnotehenvisning"/>
          <w:i/>
          <w:iCs/>
        </w:rPr>
        <w:footnoteReference w:id="4"/>
      </w:r>
      <w:r w:rsidRPr="00963DC9">
        <w:rPr>
          <w:i/>
          <w:iCs/>
        </w:rPr>
        <w:t>.</w:t>
      </w:r>
    </w:p>
    <w:p w:rsidR="00963DC9" w:rsidRPr="00963DC9" w:rsidRDefault="00963DC9" w:rsidP="00963DC9"/>
    <w:p w:rsidR="00963DC9" w:rsidRDefault="00963DC9" w:rsidP="00963DC9">
      <w:r w:rsidRPr="00963DC9">
        <w:rPr>
          <w:b/>
          <w:bCs/>
        </w:rPr>
        <w:t xml:space="preserve">Ændring af lov om social service </w:t>
      </w:r>
      <w:r w:rsidRPr="00963DC9">
        <w:t>(Lovfæstelse af betingelser for støtte til køb af bil efter serviceloven)</w:t>
      </w:r>
      <w:r w:rsidRPr="00963DC9">
        <w:rPr>
          <w:b/>
          <w:bCs/>
        </w:rPr>
        <w:t xml:space="preserve"> </w:t>
      </w:r>
    </w:p>
    <w:p w:rsidR="00963DC9" w:rsidRPr="00963DC9" w:rsidRDefault="00963DC9" w:rsidP="00963DC9">
      <w:r w:rsidRPr="00963DC9">
        <w:t>Formålet med lovforslaget er at lovfæste de regler i bekendtgørelse om støtte til køb af bil efter serviceloven, som indeholder betingelser for støtte til køb af bil.</w:t>
      </w:r>
    </w:p>
    <w:p w:rsidR="00963DC9" w:rsidRPr="00963DC9" w:rsidRDefault="00963DC9" w:rsidP="00963DC9"/>
    <w:p w:rsidR="00963DC9" w:rsidRPr="00963DC9" w:rsidRDefault="00963DC9" w:rsidP="00963DC9">
      <w:pPr>
        <w:rPr>
          <w:i/>
          <w:iCs/>
        </w:rPr>
      </w:pPr>
      <w:r w:rsidRPr="00963DC9">
        <w:rPr>
          <w:i/>
          <w:iCs/>
        </w:rPr>
        <w:t>DH afventer lovforslaget, for at se om der er indholdsmæssige ændringer.</w:t>
      </w:r>
    </w:p>
    <w:p w:rsidR="00963DC9" w:rsidRPr="00963DC9" w:rsidRDefault="00963DC9" w:rsidP="00963DC9"/>
    <w:p w:rsidR="00963DC9" w:rsidRDefault="00963DC9" w:rsidP="00963DC9">
      <w:r w:rsidRPr="00963DC9">
        <w:rPr>
          <w:b/>
          <w:bCs/>
        </w:rPr>
        <w:t xml:space="preserve">Ændring af adoptionsloven, lov om social service, forældreansvarsloven og forskellige andre love </w:t>
      </w:r>
      <w:r w:rsidRPr="00963DC9">
        <w:t xml:space="preserve">(Kontinuitet og enkle forløb for børn, der bortadopteres </w:t>
      </w:r>
      <w:r>
        <w:t xml:space="preserve">uden samtykke) </w:t>
      </w:r>
    </w:p>
    <w:p w:rsidR="00963DC9" w:rsidRPr="00963DC9" w:rsidRDefault="00963DC9" w:rsidP="00963DC9">
      <w:r w:rsidRPr="00963DC9">
        <w:t>Formålet med lovforslaget er at sikre enkel og hurtig behandling af sager om adoption af et barn uden de biologiske forældres samtykke samtidigt med, at de retssikkerhedsmæssige garantier opretholdes.</w:t>
      </w:r>
    </w:p>
    <w:p w:rsidR="00963DC9" w:rsidRPr="00963DC9" w:rsidRDefault="00963DC9" w:rsidP="00963DC9"/>
    <w:p w:rsidR="00963DC9" w:rsidRPr="00963DC9" w:rsidRDefault="00963DC9" w:rsidP="00963DC9">
      <w:pPr>
        <w:rPr>
          <w:i/>
          <w:iCs/>
        </w:rPr>
      </w:pPr>
      <w:r w:rsidRPr="00963DC9">
        <w:rPr>
          <w:i/>
          <w:iCs/>
        </w:rPr>
        <w:t>DH mener, at det er vigtigt at to forhold sikres, når der indføres enkle forløb for bortadoption uden samtykke. Det ene, at barnets tarv altid er i centrum jf. Børnekonventionens art. 3 og Handicapkonventionens art. 23(2).  Det andet, at hverken barn eller forældre fratages retten til familie på et usagligt grundlag, jf. Handicapkonventionens art. 23(3-5) og Børnekonventionens art. 9(1-2). Adoption uden samtykke er et uhyre indgribende tiltag, og det er væsentligt at procedurerne omkring dette er præget af faglig ekspertise og høje standarder for retssikkerhed for både barn og forældre.</w:t>
      </w:r>
    </w:p>
    <w:p w:rsidR="00963DC9" w:rsidRPr="00963DC9" w:rsidRDefault="00963DC9" w:rsidP="00963DC9"/>
    <w:p w:rsidR="00963DC9" w:rsidRDefault="00963DC9" w:rsidP="00963DC9">
      <w:r w:rsidRPr="00963DC9">
        <w:rPr>
          <w:b/>
          <w:bCs/>
        </w:rPr>
        <w:t xml:space="preserve">Ændring af lov om social service, lov om tilkøb af socialpædagogisk ledsagelse under ferie og lov om almene boliger m.v. </w:t>
      </w:r>
      <w:r w:rsidRPr="00963DC9">
        <w:t xml:space="preserve">(Ændrede regler om botilbud og magtanvendelse over for voksne med betydelig og varigt nedsat psykisk funktionsevne) </w:t>
      </w:r>
    </w:p>
    <w:p w:rsidR="00963DC9" w:rsidRPr="00963DC9" w:rsidRDefault="00963DC9" w:rsidP="00963DC9">
      <w:r w:rsidRPr="00963DC9">
        <w:t>Formålet med lovforslaget er at skabe mere klarhed om reglerne om magtanvendelse, samt målretning af botilbud til unge. Der er indgået en bred politisk aftale om regelændringerne.</w:t>
      </w:r>
    </w:p>
    <w:p w:rsidR="00963DC9" w:rsidRPr="00963DC9" w:rsidRDefault="00963DC9" w:rsidP="00963DC9"/>
    <w:p w:rsidR="00963DC9" w:rsidRPr="00963DC9" w:rsidRDefault="00963DC9" w:rsidP="00963DC9">
      <w:pPr>
        <w:rPr>
          <w:i/>
          <w:iCs/>
        </w:rPr>
      </w:pPr>
      <w:r w:rsidRPr="00963DC9">
        <w:rPr>
          <w:i/>
          <w:iCs/>
        </w:rPr>
        <w:lastRenderedPageBreak/>
        <w:t xml:space="preserve">DH mener at den politiske aftale giver et godt bud på klarere regler for, hvornår magtanvendelse kan tages i brug for at yde omsorg. DH afventer dog de endelige formuleringer i det kommende lovforslag ift. </w:t>
      </w:r>
      <w:proofErr w:type="gramStart"/>
      <w:r w:rsidRPr="00963DC9">
        <w:rPr>
          <w:i/>
          <w:iCs/>
        </w:rPr>
        <w:t>vurdering af om reglerne er blevet mere tydelige.</w:t>
      </w:r>
      <w:proofErr w:type="gramEnd"/>
      <w:r w:rsidRPr="00963DC9">
        <w:rPr>
          <w:i/>
          <w:iCs/>
        </w:rPr>
        <w:t xml:space="preserve"> DH er glade for at aftalen slår fast, at magtanvendelse er sidste udvej. Det er vigtigt, at der fortsat er fokus på at nedbringe brugen af magt overfor mennesker med handicap. En nyskabelse i aftalen er, at bliver muligt at bruge nye velfærdsteknologiske løsninger. Det kan starte en positiv udvikling, da nye teknologier kan være mindre indgribende overfor borgere med handicap. Derudover er der indgået aftale om at give bedre muligheder for et ungdomsliv for unge med handicap. Partierne vil forbedre kommunernes mulighed for at målrette botilbud for unge. Et meget positivt skridt ifølge DH</w:t>
      </w:r>
      <w:r w:rsidR="0044174D">
        <w:rPr>
          <w:rStyle w:val="Fodnotehenvisning"/>
          <w:i/>
          <w:iCs/>
        </w:rPr>
        <w:footnoteReference w:id="5"/>
      </w:r>
      <w:r w:rsidRPr="00963DC9">
        <w:rPr>
          <w:i/>
          <w:iCs/>
        </w:rPr>
        <w:t>.  </w:t>
      </w:r>
    </w:p>
    <w:p w:rsidR="00963DC9" w:rsidRPr="00963DC9" w:rsidRDefault="00963DC9" w:rsidP="00963DC9"/>
    <w:p w:rsidR="00963DC9" w:rsidRDefault="00963DC9" w:rsidP="00963DC9">
      <w:pPr>
        <w:rPr>
          <w:bCs/>
        </w:rPr>
      </w:pPr>
      <w:r w:rsidRPr="00963DC9">
        <w:rPr>
          <w:b/>
          <w:bCs/>
        </w:rPr>
        <w:t xml:space="preserve">Ændring af lov om socialtilsyn </w:t>
      </w:r>
      <w:r w:rsidRPr="0044174D">
        <w:rPr>
          <w:bCs/>
        </w:rPr>
        <w:t xml:space="preserve">(Opfølgning på evalueringen af socialtilsynsreformen m.v.) </w:t>
      </w:r>
    </w:p>
    <w:p w:rsidR="00963DC9" w:rsidRPr="00963DC9" w:rsidRDefault="00963DC9" w:rsidP="00963DC9">
      <w:r w:rsidRPr="00963DC9">
        <w:t>Formålet er at foretage justeringer i lov om socialtilsyn på baggrund af den evaluering af socialtilsynsreformen, som blev lavet i foråret 2018. Der afholdes politiske drøftelser i efteråret 2018. Lovforslagets indhold afhænger af de kommende politiske drøftelser.</w:t>
      </w:r>
    </w:p>
    <w:p w:rsidR="00963DC9" w:rsidRPr="00963DC9" w:rsidRDefault="00963DC9" w:rsidP="00963DC9"/>
    <w:p w:rsidR="00963DC9" w:rsidRPr="00963DC9" w:rsidRDefault="00963DC9" w:rsidP="00963DC9">
      <w:pPr>
        <w:rPr>
          <w:i/>
          <w:iCs/>
        </w:rPr>
      </w:pPr>
      <w:r w:rsidRPr="00963DC9">
        <w:rPr>
          <w:i/>
          <w:iCs/>
        </w:rPr>
        <w:t>DH mener, at de fem nye socialtilsyn overordnet set er en succes. Der er kommet en uvildig myndighed, der godkender og fører tilsyn med nogle af de sociale tilbud, der er til for de allermest sårbare mennesker med handicap. Ved evalueringen vil DH have fokus på: At bevare et årligt tilsyn for alle tilbud, at der sker et systematisk samarbejde med andre tilsyn, at pris og kvalitet skal hænge sammen, at Socialtilsynene får flere handlemuligheder over for kommuner der ikke foretager det personrettede tilsyn eller ikke laver handleplaner, samt fagligheden hos personalet</w:t>
      </w:r>
      <w:r w:rsidR="0044174D">
        <w:rPr>
          <w:rStyle w:val="Fodnotehenvisning"/>
          <w:i/>
          <w:iCs/>
        </w:rPr>
        <w:footnoteReference w:id="6"/>
      </w:r>
      <w:r w:rsidRPr="00963DC9">
        <w:rPr>
          <w:i/>
          <w:iCs/>
        </w:rPr>
        <w:t>.</w:t>
      </w:r>
    </w:p>
    <w:p w:rsidR="0044174D" w:rsidRDefault="0044174D" w:rsidP="0044174D">
      <w:pPr>
        <w:pStyle w:val="Overskrift2"/>
      </w:pPr>
      <w:r>
        <w:t xml:space="preserve">Finansministeren </w:t>
      </w:r>
    </w:p>
    <w:p w:rsidR="0044174D" w:rsidRDefault="0044174D" w:rsidP="0044174D">
      <w:pPr>
        <w:rPr>
          <w:b/>
        </w:rPr>
      </w:pPr>
      <w:r w:rsidRPr="0044174D">
        <w:rPr>
          <w:b/>
        </w:rPr>
        <w:t>Finanslov for finansåret 2019</w:t>
      </w:r>
    </w:p>
    <w:p w:rsidR="0044174D" w:rsidRDefault="0044174D" w:rsidP="0044174D">
      <w:r>
        <w:t>Regeringen fremlagde i sit forslag til finanslov den 30. august 2018.</w:t>
      </w:r>
    </w:p>
    <w:p w:rsidR="00464A5B" w:rsidRDefault="0044174D" w:rsidP="0044174D">
      <w:pPr>
        <w:rPr>
          <w:i/>
        </w:rPr>
      </w:pPr>
      <w:r w:rsidRPr="00464A5B">
        <w:rPr>
          <w:i/>
        </w:rPr>
        <w:t xml:space="preserve">DH har peget på, at det er positivt at der afsættes 100 mio. kroner til psykiatrien og 35 mio. kroner til at nedbringe sagsbehandlingstider hos Ankestyrelsen. </w:t>
      </w:r>
      <w:r w:rsidR="001A5354" w:rsidRPr="00464A5B">
        <w:rPr>
          <w:i/>
        </w:rPr>
        <w:t>DH er kritisk overfor de fortsatte besparelser på uddannelsesområdet, som vi frygter særligt vil gå ud over unge med handicap</w:t>
      </w:r>
      <w:r w:rsidR="00464A5B" w:rsidRPr="00464A5B">
        <w:rPr>
          <w:rStyle w:val="Fodnotehenvisning"/>
          <w:i/>
        </w:rPr>
        <w:footnoteReference w:id="7"/>
      </w:r>
      <w:r w:rsidR="001A5354" w:rsidRPr="00464A5B">
        <w:rPr>
          <w:i/>
        </w:rPr>
        <w:t xml:space="preserve">. </w:t>
      </w:r>
      <w:r w:rsidRPr="00464A5B">
        <w:rPr>
          <w:i/>
        </w:rPr>
        <w:t xml:space="preserve">  </w:t>
      </w:r>
    </w:p>
    <w:p w:rsidR="00464A5B" w:rsidRDefault="00464A5B" w:rsidP="0044174D">
      <w:pPr>
        <w:rPr>
          <w:i/>
        </w:rPr>
      </w:pPr>
    </w:p>
    <w:p w:rsidR="00464A5B" w:rsidRPr="00464A5B" w:rsidRDefault="00464A5B" w:rsidP="00464A5B">
      <w:pPr>
        <w:rPr>
          <w:rFonts w:eastAsiaTheme="minorHAnsi"/>
          <w:b/>
          <w:lang w:eastAsia="en-US"/>
        </w:rPr>
      </w:pPr>
      <w:r w:rsidRPr="00464A5B">
        <w:rPr>
          <w:rFonts w:eastAsiaTheme="minorHAnsi"/>
          <w:b/>
          <w:lang w:eastAsia="en-US"/>
        </w:rPr>
        <w:t>Lov om fastsættelse af udgiftslofter for stat, kommuner og regioner for finansåret</w:t>
      </w:r>
    </w:p>
    <w:p w:rsidR="00464A5B" w:rsidRDefault="00464A5B" w:rsidP="00464A5B">
      <w:pPr>
        <w:rPr>
          <w:rFonts w:eastAsiaTheme="minorHAnsi"/>
          <w:b/>
          <w:lang w:eastAsia="en-US"/>
        </w:rPr>
      </w:pPr>
      <w:r w:rsidRPr="00464A5B">
        <w:rPr>
          <w:rFonts w:eastAsiaTheme="minorHAnsi"/>
          <w:b/>
          <w:lang w:eastAsia="en-US"/>
        </w:rPr>
        <w:t>2022</w:t>
      </w:r>
    </w:p>
    <w:p w:rsidR="00580BC9" w:rsidRDefault="00464A5B" w:rsidP="00580BC9">
      <w:pPr>
        <w:overflowPunct/>
        <w:jc w:val="left"/>
        <w:textAlignment w:val="auto"/>
        <w:rPr>
          <w:lang w:eastAsia="en-US"/>
        </w:rPr>
      </w:pPr>
      <w:r>
        <w:rPr>
          <w:lang w:eastAsia="en-US"/>
        </w:rPr>
        <w:t>For at overholde budgetloven skal Folketinget hvert år fastsætte udgiftslofter for stat, kommuner og regioner. I øjeblikket reduceres kommunernes udgiftsloft hvert år med 0,5 mia. kroner som følge af det moderniserings- og effektiviseringsprogram, som er en del af kommuneaftalen</w:t>
      </w:r>
      <w:r w:rsidR="00580BC9">
        <w:rPr>
          <w:lang w:eastAsia="en-US"/>
        </w:rPr>
        <w:t xml:space="preserve"> fra 2017</w:t>
      </w:r>
      <w:r>
        <w:rPr>
          <w:lang w:eastAsia="en-US"/>
        </w:rPr>
        <w:t xml:space="preserve">. </w:t>
      </w:r>
      <w:r w:rsidR="00580BC9">
        <w:rPr>
          <w:lang w:eastAsia="en-US"/>
        </w:rPr>
        <w:t xml:space="preserve">Programmet løber i perioden 2018-2020. </w:t>
      </w:r>
    </w:p>
    <w:p w:rsidR="00580BC9" w:rsidRDefault="00580BC9" w:rsidP="00580BC9">
      <w:pPr>
        <w:overflowPunct/>
        <w:jc w:val="left"/>
        <w:textAlignment w:val="auto"/>
        <w:rPr>
          <w:lang w:eastAsia="en-US"/>
        </w:rPr>
      </w:pPr>
    </w:p>
    <w:p w:rsidR="00580BC9" w:rsidRDefault="00580BC9" w:rsidP="00580BC9">
      <w:pPr>
        <w:rPr>
          <w:i/>
        </w:rPr>
      </w:pPr>
      <w:r w:rsidRPr="00580BC9">
        <w:rPr>
          <w:bCs/>
          <w:i/>
        </w:rPr>
        <w:lastRenderedPageBreak/>
        <w:t xml:space="preserve">DH mener, at moderniserings- og effektiviseringsbidraget bør afskaffes efter 2020. </w:t>
      </w:r>
      <w:r w:rsidRPr="00580BC9">
        <w:rPr>
          <w:i/>
        </w:rPr>
        <w:t>Med presset på den offentlige service i de kommende år, er det uholdbart, at kommunerne hvert år starter i minus, når de skal forhandle økonomi med regeringen.  </w:t>
      </w:r>
    </w:p>
    <w:p w:rsidR="00580BC9" w:rsidRDefault="00580BC9" w:rsidP="00580BC9">
      <w:pPr>
        <w:rPr>
          <w:i/>
        </w:rPr>
      </w:pPr>
    </w:p>
    <w:p w:rsidR="00580BC9" w:rsidRDefault="00580BC9" w:rsidP="00580BC9">
      <w:pPr>
        <w:rPr>
          <w:rFonts w:eastAsiaTheme="minorHAnsi"/>
          <w:lang w:eastAsia="en-US"/>
        </w:rPr>
      </w:pPr>
      <w:r w:rsidRPr="00580BC9">
        <w:rPr>
          <w:rFonts w:eastAsiaTheme="minorHAnsi"/>
          <w:b/>
          <w:lang w:eastAsia="en-US"/>
        </w:rPr>
        <w:t>Ændring af budgetlov</w:t>
      </w:r>
      <w:r>
        <w:rPr>
          <w:rFonts w:eastAsiaTheme="minorHAnsi"/>
          <w:lang w:eastAsia="en-US"/>
        </w:rPr>
        <w:t xml:space="preserve"> (Revision af loven) </w:t>
      </w:r>
    </w:p>
    <w:p w:rsidR="00580BC9" w:rsidRDefault="00580BC9" w:rsidP="00580BC9">
      <w:pPr>
        <w:rPr>
          <w:rFonts w:ascii="Arial" w:hAnsi="Arial" w:cs="Arial"/>
          <w:color w:val="1F497D"/>
          <w:sz w:val="18"/>
          <w:szCs w:val="18"/>
        </w:rPr>
      </w:pPr>
      <w:r>
        <w:rPr>
          <w:rFonts w:eastAsiaTheme="minorHAnsi"/>
          <w:lang w:eastAsia="en-US"/>
        </w:rPr>
        <w:t>Formålet med lovforslaget er at gennemføre en lovpligtig revision af loven på baggrund af de hidtidige erfaringer.</w:t>
      </w:r>
    </w:p>
    <w:p w:rsidR="00580BC9" w:rsidRDefault="00580BC9" w:rsidP="00580BC9">
      <w:pPr>
        <w:rPr>
          <w:rFonts w:ascii="Arial" w:hAnsi="Arial" w:cs="Arial"/>
          <w:color w:val="1F497D"/>
          <w:sz w:val="18"/>
          <w:szCs w:val="18"/>
        </w:rPr>
      </w:pPr>
    </w:p>
    <w:p w:rsidR="00580BC9" w:rsidRPr="00580BC9" w:rsidRDefault="00580BC9" w:rsidP="00580BC9">
      <w:pPr>
        <w:rPr>
          <w:i/>
        </w:rPr>
      </w:pPr>
      <w:r w:rsidRPr="00580BC9">
        <w:rPr>
          <w:i/>
        </w:rPr>
        <w:t xml:space="preserve">DH mener, at det er uholdbart at </w:t>
      </w:r>
      <w:r w:rsidRPr="00580BC9">
        <w:rPr>
          <w:bCs/>
          <w:i/>
        </w:rPr>
        <w:t>sanktionsmekanismerne</w:t>
      </w:r>
      <w:r w:rsidRPr="00580BC9">
        <w:rPr>
          <w:i/>
        </w:rPr>
        <w:t xml:space="preserve"> overfor kommunerne betyder, at de systematisk år efter år bruger mindre end det aftalte med regeringen. Vi får dermed mindre velfærd end der er aftalt. DH mener, at der først bør iværksættes sanktioner, når budgetoverskridelsen kommer over en bagatelgrænse. Og at overskridelser indenfor bagatelgrænsen blot overføres til mindre forbrug året efter (et lavere udgangspunkt for kommunerne). </w:t>
      </w:r>
    </w:p>
    <w:p w:rsidR="00580BC9" w:rsidRDefault="00580BC9" w:rsidP="00580BC9">
      <w:pPr>
        <w:rPr>
          <w:i/>
        </w:rPr>
      </w:pPr>
    </w:p>
    <w:p w:rsidR="00580BC9" w:rsidRDefault="00580BC9" w:rsidP="00580BC9">
      <w:pPr>
        <w:pStyle w:val="Overskrift2"/>
      </w:pPr>
      <w:r>
        <w:t>Justitsministeren</w:t>
      </w:r>
    </w:p>
    <w:p w:rsidR="00963DC9" w:rsidRPr="00963DC9" w:rsidRDefault="00963DC9" w:rsidP="00963DC9">
      <w:pPr>
        <w:rPr>
          <w:b/>
          <w:bCs/>
        </w:rPr>
      </w:pPr>
      <w:r w:rsidRPr="00963DC9">
        <w:rPr>
          <w:b/>
          <w:bCs/>
        </w:rPr>
        <w:t xml:space="preserve">Ændring af lov om fuldbyrdelse af straf m.v., retsplejeloven, straffeloven og lov om folkeskolen </w:t>
      </w:r>
      <w:r w:rsidRPr="00963DC9">
        <w:t>(overdragelse af opgaver fra poli</w:t>
      </w:r>
      <w:r w:rsidR="00580BC9">
        <w:t xml:space="preserve">ti til Kriminalforsorg.) </w:t>
      </w:r>
    </w:p>
    <w:p w:rsidR="00963DC9" w:rsidRPr="00963DC9" w:rsidRDefault="00963DC9" w:rsidP="00963DC9">
      <w:r w:rsidRPr="00963DC9">
        <w:t>Lovforslaget har til formål at forbedre kriminalforsorgens adgang til oplysninger om indsatte i fængsler og arresthuse. Herudover skal lovforslaget gøre det muligt for kriminalforsorgen at varetage nye opgaver i forbindelse med arrestanttransport.</w:t>
      </w:r>
    </w:p>
    <w:p w:rsidR="00963DC9" w:rsidRPr="00963DC9" w:rsidRDefault="00963DC9" w:rsidP="00963DC9"/>
    <w:p w:rsidR="00963DC9" w:rsidRPr="00963DC9" w:rsidRDefault="00963DC9" w:rsidP="00963DC9">
      <w:pPr>
        <w:rPr>
          <w:i/>
          <w:iCs/>
        </w:rPr>
      </w:pPr>
      <w:r w:rsidRPr="00963DC9">
        <w:rPr>
          <w:i/>
          <w:iCs/>
        </w:rPr>
        <w:t>DH har alene fokuseret på den del af lovforslaget, som handler om at kriminalforsorgen skal overtage en væsentlig del af politiets opgaver med transport af bl.a. arrestanter med psykisk sygdom eller vidtgående psykisk handicap. DH finder, at lovforslaget alene fokuserer på anvendelsen af magt i forbindelse med transport af bl.a. personer med en sindslidelse eller vidtgående psykisk handicap. DH anbefaler, at det i forbindelse med opgaveflytningen af transport af visse personer fra politiet til kriminalforsorgen sikres, at de pågældende medarbejdere får den nødvendige uddannelse til opgaven</w:t>
      </w:r>
      <w:r w:rsidR="00580BC9">
        <w:rPr>
          <w:rStyle w:val="Fodnotehenvisning"/>
          <w:i/>
          <w:iCs/>
        </w:rPr>
        <w:footnoteReference w:id="8"/>
      </w:r>
      <w:r w:rsidRPr="00963DC9">
        <w:rPr>
          <w:i/>
          <w:iCs/>
        </w:rPr>
        <w:t>.</w:t>
      </w:r>
    </w:p>
    <w:p w:rsidR="00963DC9" w:rsidRPr="00963DC9" w:rsidRDefault="00963DC9" w:rsidP="00963DC9"/>
    <w:p w:rsidR="00963DC9" w:rsidRPr="00580BC9" w:rsidRDefault="00963DC9" w:rsidP="00963DC9">
      <w:pPr>
        <w:rPr>
          <w:bCs/>
        </w:rPr>
      </w:pPr>
      <w:r w:rsidRPr="00963DC9">
        <w:rPr>
          <w:b/>
          <w:bCs/>
        </w:rPr>
        <w:t xml:space="preserve">Ændring af værgemålsloven </w:t>
      </w:r>
      <w:r w:rsidRPr="00580BC9">
        <w:rPr>
          <w:bCs/>
        </w:rPr>
        <w:t xml:space="preserve">(Valgret til Folketinget for personer under værgemål m.v.) </w:t>
      </w:r>
    </w:p>
    <w:p w:rsidR="00963DC9" w:rsidRPr="00963DC9" w:rsidRDefault="00963DC9" w:rsidP="00963DC9">
      <w:r w:rsidRPr="00963DC9">
        <w:t>Formålet med lovforslaget er at gennemføre tiltag med henblik på, at flere personer, der i dag har mistet stemmeretten som følge af værgemål, kan stemme til folketingsvalg.</w:t>
      </w:r>
    </w:p>
    <w:p w:rsidR="00963DC9" w:rsidRPr="00963DC9" w:rsidRDefault="00963DC9" w:rsidP="00963DC9"/>
    <w:p w:rsidR="00963DC9" w:rsidRPr="00963DC9" w:rsidRDefault="00963DC9" w:rsidP="00963DC9">
      <w:pPr>
        <w:rPr>
          <w:i/>
          <w:iCs/>
        </w:rPr>
      </w:pPr>
      <w:r w:rsidRPr="00963DC9">
        <w:rPr>
          <w:i/>
          <w:iCs/>
        </w:rPr>
        <w:t>DH ser frem til lovforslaget, der vil give flere personer under værgemål mulighed for at stemme til Folketingsvalget. Disse såkaldte umyndiggjorte er mennesker med handicap, der ligesom alle andre vil leve et selvstændigt liv. De vil deltage i samfundet, værdsættes og anerkendes for deres rolle i fællesskabet ligesom alle andre. DH håber at ændringerne af værgemålsloven vil være bredere end alene at handle om stemmeret</w:t>
      </w:r>
      <w:r w:rsidR="00580BC9">
        <w:rPr>
          <w:rStyle w:val="Fodnotehenvisning"/>
          <w:i/>
          <w:iCs/>
        </w:rPr>
        <w:footnoteReference w:id="9"/>
      </w:r>
      <w:r w:rsidRPr="00963DC9">
        <w:rPr>
          <w:i/>
          <w:iCs/>
        </w:rPr>
        <w:t xml:space="preserve">. </w:t>
      </w:r>
    </w:p>
    <w:p w:rsidR="00580BC9" w:rsidRDefault="00580BC9" w:rsidP="00580BC9">
      <w:pPr>
        <w:pStyle w:val="Overskrift2"/>
      </w:pPr>
      <w:r>
        <w:t>Kulturministeren</w:t>
      </w:r>
    </w:p>
    <w:p w:rsidR="00580BC9" w:rsidRPr="00C1725A" w:rsidRDefault="00580BC9" w:rsidP="00580BC9">
      <w:pPr>
        <w:rPr>
          <w:b/>
          <w:color w:val="000000" w:themeColor="text1"/>
        </w:rPr>
      </w:pPr>
      <w:r w:rsidRPr="00C1725A">
        <w:rPr>
          <w:b/>
          <w:color w:val="000000" w:themeColor="text1"/>
        </w:rPr>
        <w:t>Ændring af lov om radio- og fjernsynsvirksomhed, personskatteloven, lov om social</w:t>
      </w:r>
    </w:p>
    <w:p w:rsidR="00580BC9" w:rsidRPr="00C1725A" w:rsidRDefault="00580BC9" w:rsidP="00580BC9">
      <w:pPr>
        <w:rPr>
          <w:color w:val="000000" w:themeColor="text1"/>
        </w:rPr>
      </w:pPr>
      <w:r w:rsidRPr="00C1725A">
        <w:rPr>
          <w:b/>
          <w:color w:val="000000" w:themeColor="text1"/>
        </w:rPr>
        <w:t>pension og forskellige andre love</w:t>
      </w:r>
      <w:proofErr w:type="gramStart"/>
      <w:r w:rsidRPr="00C1725A">
        <w:rPr>
          <w:color w:val="000000" w:themeColor="text1"/>
        </w:rPr>
        <w:t xml:space="preserve"> (Gennemførelse af aftale om fokusering af DR og</w:t>
      </w:r>
      <w:proofErr w:type="gramEnd"/>
    </w:p>
    <w:p w:rsidR="00580BC9" w:rsidRPr="00C1725A" w:rsidRDefault="00580BC9" w:rsidP="00580BC9">
      <w:pPr>
        <w:rPr>
          <w:color w:val="000000" w:themeColor="text1"/>
        </w:rPr>
      </w:pPr>
      <w:proofErr w:type="gramStart"/>
      <w:r w:rsidRPr="00C1725A">
        <w:rPr>
          <w:color w:val="000000" w:themeColor="text1"/>
        </w:rPr>
        <w:t>afskaffelse af medielicensen m.v.)</w:t>
      </w:r>
      <w:proofErr w:type="gramEnd"/>
      <w:r w:rsidRPr="00C1725A">
        <w:rPr>
          <w:color w:val="000000" w:themeColor="text1"/>
        </w:rPr>
        <w:t xml:space="preserve"> </w:t>
      </w:r>
    </w:p>
    <w:p w:rsidR="00C1725A" w:rsidRDefault="00580BC9" w:rsidP="00580BC9">
      <w:pPr>
        <w:rPr>
          <w:color w:val="000000" w:themeColor="text1"/>
        </w:rPr>
      </w:pPr>
      <w:r w:rsidRPr="00C1725A">
        <w:rPr>
          <w:color w:val="000000" w:themeColor="text1"/>
        </w:rPr>
        <w:lastRenderedPageBreak/>
        <w:t>Lovforslaget har til formål at gennemføre en gradvis afskaffelse af medielicensen over perioden</w:t>
      </w:r>
      <w:r w:rsidR="00C1725A">
        <w:rPr>
          <w:color w:val="000000" w:themeColor="text1"/>
        </w:rPr>
        <w:t xml:space="preserve"> </w:t>
      </w:r>
      <w:r w:rsidRPr="00C1725A">
        <w:rPr>
          <w:color w:val="000000" w:themeColor="text1"/>
        </w:rPr>
        <w:t>2019-2022, så hidtil licensfinansierede medie- og filmformål fra 2022 finansieres fuldt ud</w:t>
      </w:r>
      <w:r w:rsidR="00C1725A">
        <w:rPr>
          <w:color w:val="000000" w:themeColor="text1"/>
        </w:rPr>
        <w:t xml:space="preserve"> </w:t>
      </w:r>
      <w:r w:rsidRPr="00C1725A">
        <w:rPr>
          <w:color w:val="000000" w:themeColor="text1"/>
        </w:rPr>
        <w:t>over finansloven. I takt med nedsættelse og bortfald af medielicensen gennemføres efter lovforslaget</w:t>
      </w:r>
      <w:r w:rsidR="00C1725A">
        <w:rPr>
          <w:color w:val="000000" w:themeColor="text1"/>
        </w:rPr>
        <w:t xml:space="preserve"> </w:t>
      </w:r>
      <w:r w:rsidRPr="00C1725A">
        <w:rPr>
          <w:color w:val="000000" w:themeColor="text1"/>
        </w:rPr>
        <w:t xml:space="preserve">en </w:t>
      </w:r>
      <w:proofErr w:type="spellStart"/>
      <w:r w:rsidRPr="00C1725A">
        <w:rPr>
          <w:color w:val="000000" w:themeColor="text1"/>
        </w:rPr>
        <w:t>mindregulering</w:t>
      </w:r>
      <w:proofErr w:type="spellEnd"/>
      <w:r w:rsidRPr="00C1725A">
        <w:rPr>
          <w:color w:val="000000" w:themeColor="text1"/>
        </w:rPr>
        <w:t xml:space="preserve"> af personfradraget for alle, der er fyldt 18 år, og der indføres en ny</w:t>
      </w:r>
      <w:r w:rsidR="00C1725A">
        <w:rPr>
          <w:color w:val="000000" w:themeColor="text1"/>
        </w:rPr>
        <w:t xml:space="preserve"> </w:t>
      </w:r>
      <w:r w:rsidRPr="00C1725A">
        <w:rPr>
          <w:color w:val="000000" w:themeColor="text1"/>
        </w:rPr>
        <w:t>mediecheck til pensionister, som i dag er berettiget til nedsat licens samt en undtagelse af mediechecken</w:t>
      </w:r>
      <w:r w:rsidR="00C1725A">
        <w:rPr>
          <w:color w:val="000000" w:themeColor="text1"/>
        </w:rPr>
        <w:t xml:space="preserve"> </w:t>
      </w:r>
      <w:r w:rsidRPr="00C1725A">
        <w:rPr>
          <w:color w:val="000000" w:themeColor="text1"/>
        </w:rPr>
        <w:t xml:space="preserve">fra husstandsindkomsten ved beregning af boligstøtte. </w:t>
      </w:r>
    </w:p>
    <w:p w:rsidR="00580BC9" w:rsidRDefault="00580BC9" w:rsidP="00580BC9">
      <w:pPr>
        <w:rPr>
          <w:color w:val="000000" w:themeColor="text1"/>
        </w:rPr>
      </w:pPr>
      <w:r w:rsidRPr="00BE5050">
        <w:rPr>
          <w:color w:val="000000" w:themeColor="text1"/>
        </w:rPr>
        <w:t>Lovforslaget er en opfølgning</w:t>
      </w:r>
      <w:r w:rsidR="00C1725A" w:rsidRPr="00BE5050">
        <w:rPr>
          <w:color w:val="000000" w:themeColor="text1"/>
        </w:rPr>
        <w:t xml:space="preserve"> </w:t>
      </w:r>
      <w:r w:rsidRPr="00BE5050">
        <w:rPr>
          <w:color w:val="000000" w:themeColor="text1"/>
        </w:rPr>
        <w:t>på aftalen om fokusering af DR og afskaffelse af medielicensen mellem regeringen</w:t>
      </w:r>
      <w:r w:rsidRPr="00C1725A">
        <w:rPr>
          <w:color w:val="000000" w:themeColor="text1"/>
        </w:rPr>
        <w:t xml:space="preserve"> (Venstre,</w:t>
      </w:r>
      <w:r w:rsidR="00C1725A">
        <w:rPr>
          <w:color w:val="000000" w:themeColor="text1"/>
        </w:rPr>
        <w:t xml:space="preserve"> </w:t>
      </w:r>
      <w:r w:rsidRPr="00C1725A">
        <w:rPr>
          <w:color w:val="000000" w:themeColor="text1"/>
        </w:rPr>
        <w:t>Liberal Alliance og Det Konservative Folkeparti) og Dansk Folkeparti fra marts 2018.</w:t>
      </w:r>
    </w:p>
    <w:p w:rsidR="00580BC9" w:rsidRPr="00C1725A" w:rsidRDefault="00580BC9" w:rsidP="00580BC9">
      <w:pPr>
        <w:rPr>
          <w:color w:val="000000" w:themeColor="text1"/>
        </w:rPr>
      </w:pPr>
    </w:p>
    <w:p w:rsidR="00914FFD" w:rsidRPr="00BE5050" w:rsidRDefault="00580BC9" w:rsidP="00580BC9">
      <w:pPr>
        <w:rPr>
          <w:i/>
          <w:color w:val="000000" w:themeColor="text1"/>
        </w:rPr>
      </w:pPr>
      <w:r w:rsidRPr="00914FFD">
        <w:rPr>
          <w:i/>
          <w:color w:val="000000" w:themeColor="text1"/>
        </w:rPr>
        <w:t>DH finder det meget positivt, at der afsættes en pulje på 10 mio. kr. årligt fra 2019 til initiativer målrettet tilgængeliggørelse af medier for personer, der er blinde eller stærkt svagsynede. Det er vigtigt, at denne pulje anvendes til udvikling og drift af nye tilgængelighedsinitiativer</w:t>
      </w:r>
      <w:r w:rsidR="00914FFD">
        <w:rPr>
          <w:rStyle w:val="Fodnotehenvisning"/>
          <w:i/>
          <w:color w:val="000000" w:themeColor="text1"/>
        </w:rPr>
        <w:footnoteReference w:id="10"/>
      </w:r>
      <w:r w:rsidRPr="00914FFD">
        <w:rPr>
          <w:i/>
          <w:color w:val="000000" w:themeColor="text1"/>
        </w:rPr>
        <w:t xml:space="preserve">. </w:t>
      </w:r>
    </w:p>
    <w:p w:rsidR="00580BC9" w:rsidRPr="00C1725A" w:rsidRDefault="00580BC9" w:rsidP="00580BC9">
      <w:pPr>
        <w:rPr>
          <w:color w:val="000000" w:themeColor="text1"/>
        </w:rPr>
      </w:pPr>
    </w:p>
    <w:p w:rsidR="00580BC9" w:rsidRPr="00C1725A" w:rsidRDefault="00580BC9" w:rsidP="00580BC9">
      <w:pPr>
        <w:rPr>
          <w:color w:val="000000" w:themeColor="text1"/>
        </w:rPr>
      </w:pPr>
      <w:r w:rsidRPr="00914FFD">
        <w:rPr>
          <w:b/>
          <w:color w:val="000000" w:themeColor="text1"/>
        </w:rPr>
        <w:t>Ændring af lov om radio- og fjernsynsvirksomhed</w:t>
      </w:r>
      <w:r w:rsidRPr="00C1725A">
        <w:rPr>
          <w:color w:val="000000" w:themeColor="text1"/>
        </w:rPr>
        <w:t xml:space="preserve"> (Gennemførelse af dele af medieaftalen</w:t>
      </w:r>
      <w:r w:rsidR="00914FFD">
        <w:rPr>
          <w:color w:val="000000" w:themeColor="text1"/>
        </w:rPr>
        <w:t xml:space="preserve"> </w:t>
      </w:r>
      <w:r w:rsidRPr="00C1725A">
        <w:rPr>
          <w:color w:val="000000" w:themeColor="text1"/>
        </w:rPr>
        <w:t>2019-2023 m.v.)</w:t>
      </w:r>
    </w:p>
    <w:p w:rsidR="00580BC9" w:rsidRPr="00C1725A" w:rsidRDefault="00580BC9" w:rsidP="00580BC9">
      <w:pPr>
        <w:rPr>
          <w:color w:val="000000" w:themeColor="text1"/>
        </w:rPr>
      </w:pPr>
      <w:r w:rsidRPr="00C1725A">
        <w:rPr>
          <w:color w:val="000000" w:themeColor="text1"/>
        </w:rPr>
        <w:t>Lovforslaget har bl.a. til formål at forenkle radio- og fjernsynslovens generelle bestemmelser</w:t>
      </w:r>
      <w:r w:rsidR="00914FFD">
        <w:rPr>
          <w:color w:val="000000" w:themeColor="text1"/>
        </w:rPr>
        <w:t xml:space="preserve"> </w:t>
      </w:r>
      <w:r w:rsidRPr="00C1725A">
        <w:rPr>
          <w:color w:val="000000" w:themeColor="text1"/>
        </w:rPr>
        <w:t>om, hvilke foretagender der udøver public servicevirksomhed i Danmark, at ændre reglerne</w:t>
      </w:r>
      <w:r w:rsidR="00914FFD">
        <w:rPr>
          <w:color w:val="000000" w:themeColor="text1"/>
        </w:rPr>
        <w:t xml:space="preserve"> </w:t>
      </w:r>
      <w:r w:rsidRPr="00C1725A">
        <w:rPr>
          <w:color w:val="000000" w:themeColor="text1"/>
        </w:rPr>
        <w:t>for udpegning af DR's bestyrelse, at udvide kulturministerens bemyndigelse til at fastsætte</w:t>
      </w:r>
      <w:r w:rsidR="00914FFD">
        <w:rPr>
          <w:color w:val="000000" w:themeColor="text1"/>
        </w:rPr>
        <w:t xml:space="preserve"> </w:t>
      </w:r>
      <w:r w:rsidRPr="00C1725A">
        <w:rPr>
          <w:color w:val="000000" w:themeColor="text1"/>
        </w:rPr>
        <w:t>regler om de regionale TV 2-virksomheder til også at omfatte tilsyn og sanktioner, og at indføre</w:t>
      </w:r>
      <w:r w:rsidR="00914FFD">
        <w:rPr>
          <w:color w:val="000000" w:themeColor="text1"/>
        </w:rPr>
        <w:t xml:space="preserve"> </w:t>
      </w:r>
      <w:r w:rsidRPr="00C1725A">
        <w:rPr>
          <w:color w:val="000000" w:themeColor="text1"/>
        </w:rPr>
        <w:t>en bemyndigelse til at udbyde nye public service-kanaler m.v. Lovforslaget er en opfølgning</w:t>
      </w:r>
      <w:r w:rsidR="00914FFD">
        <w:rPr>
          <w:color w:val="000000" w:themeColor="text1"/>
        </w:rPr>
        <w:t xml:space="preserve"> </w:t>
      </w:r>
      <w:r w:rsidRPr="00C1725A">
        <w:rPr>
          <w:color w:val="000000" w:themeColor="text1"/>
        </w:rPr>
        <w:t>på medieaftalen 2019-2023 mellem regeringen og Dansk Folkeparti fra juni 2018</w:t>
      </w:r>
      <w:r w:rsidR="00F47AB3">
        <w:rPr>
          <w:color w:val="000000" w:themeColor="text1"/>
        </w:rPr>
        <w:t xml:space="preserve">. </w:t>
      </w:r>
      <w:r w:rsidRPr="00C1725A">
        <w:rPr>
          <w:color w:val="000000" w:themeColor="text1"/>
        </w:rPr>
        <w:t>Lovforslaget gennemfører en del af medieaftalen bl.a. udbuddet af nye public service-kanaler.</w:t>
      </w:r>
    </w:p>
    <w:p w:rsidR="00580BC9" w:rsidRPr="00C1725A" w:rsidRDefault="00580BC9" w:rsidP="00580BC9">
      <w:pPr>
        <w:rPr>
          <w:color w:val="000000" w:themeColor="text1"/>
        </w:rPr>
      </w:pPr>
    </w:p>
    <w:p w:rsidR="00580BC9" w:rsidRPr="00914FFD" w:rsidRDefault="00580BC9" w:rsidP="00580BC9">
      <w:pPr>
        <w:rPr>
          <w:i/>
          <w:color w:val="000000" w:themeColor="text1"/>
        </w:rPr>
      </w:pPr>
      <w:r w:rsidRPr="00914FFD">
        <w:rPr>
          <w:i/>
          <w:color w:val="000000" w:themeColor="text1"/>
        </w:rPr>
        <w:t xml:space="preserve">DH mener, at der i forbindelse med udbud af nye public service-kanaler skal stilles krav om tilgængelighed i udbudsbekendtgørelsen. Dette både i forhold til at </w:t>
      </w:r>
      <w:proofErr w:type="gramStart"/>
      <w:r w:rsidRPr="00914FFD">
        <w:rPr>
          <w:i/>
          <w:color w:val="000000" w:themeColor="text1"/>
        </w:rPr>
        <w:t>sikre</w:t>
      </w:r>
      <w:proofErr w:type="gramEnd"/>
      <w:r w:rsidRPr="00914FFD">
        <w:rPr>
          <w:i/>
          <w:color w:val="000000" w:themeColor="text1"/>
        </w:rPr>
        <w:t xml:space="preserve"> tilgængelighedstjenester som undertekster, oplæsning af undertekster, tegnsprogstolkning og synstolkning til tv-udsendelserne. Derudover skal det sikres, at de digitale platforme som hjemmesider og applikationer lever op til den samme standard for tilgængelighed til hjemmesider, som alle offentlige myndigheder skal leve op til ifølge lov om tilgængelighed til hjemmesider</w:t>
      </w:r>
      <w:r w:rsidR="00914FFD">
        <w:rPr>
          <w:rStyle w:val="Fodnotehenvisning"/>
          <w:i/>
          <w:color w:val="000000" w:themeColor="text1"/>
        </w:rPr>
        <w:footnoteReference w:id="11"/>
      </w:r>
      <w:r w:rsidRPr="00914FFD">
        <w:rPr>
          <w:i/>
          <w:color w:val="000000" w:themeColor="text1"/>
        </w:rPr>
        <w:t>.</w:t>
      </w:r>
    </w:p>
    <w:p w:rsidR="00914FFD" w:rsidRPr="00C1725A" w:rsidRDefault="00914FFD" w:rsidP="00914FFD">
      <w:pPr>
        <w:pStyle w:val="Overskrift2"/>
      </w:pPr>
      <w:r w:rsidRPr="00C1725A">
        <w:t>Ministeren for offentlig Innovation</w:t>
      </w:r>
    </w:p>
    <w:p w:rsidR="00914FFD" w:rsidRPr="00C1725A" w:rsidRDefault="00914FFD" w:rsidP="00914FFD">
      <w:pPr>
        <w:rPr>
          <w:color w:val="000000" w:themeColor="text1"/>
        </w:rPr>
      </w:pPr>
      <w:r w:rsidRPr="00C1725A">
        <w:rPr>
          <w:b/>
          <w:bCs/>
          <w:color w:val="000000" w:themeColor="text1"/>
        </w:rPr>
        <w:t>Lov om Den Sociale Investeringsfond</w:t>
      </w:r>
    </w:p>
    <w:p w:rsidR="00914FFD" w:rsidRPr="00C1725A" w:rsidRDefault="00914FFD" w:rsidP="00914FFD">
      <w:pPr>
        <w:rPr>
          <w:color w:val="000000" w:themeColor="text1"/>
        </w:rPr>
      </w:pPr>
      <w:r w:rsidRPr="00C1725A">
        <w:rPr>
          <w:color w:val="000000" w:themeColor="text1"/>
        </w:rPr>
        <w:t>Med lovforslaget etableres Den Sociale Investeringsfond. Fonden skal understøtte, at der sættes tidligere og mere forebyggende ind på de større velfærdsområder ved at forbedre rammerne for nye partnerskaber mellem den offentlige, private og frivillige sektor.</w:t>
      </w:r>
    </w:p>
    <w:p w:rsidR="00914FFD" w:rsidRPr="00C1725A" w:rsidRDefault="00914FFD" w:rsidP="00914FFD">
      <w:pPr>
        <w:rPr>
          <w:color w:val="000000" w:themeColor="text1"/>
        </w:rPr>
      </w:pPr>
    </w:p>
    <w:p w:rsidR="00914FFD" w:rsidRPr="00963DC9" w:rsidRDefault="00914FFD" w:rsidP="00914FFD">
      <w:pPr>
        <w:rPr>
          <w:i/>
          <w:iCs/>
        </w:rPr>
      </w:pPr>
      <w:r w:rsidRPr="00C1725A">
        <w:rPr>
          <w:i/>
          <w:iCs/>
          <w:color w:val="000000" w:themeColor="text1"/>
        </w:rPr>
        <w:t xml:space="preserve">DH er som udgangspunkt positive over for idéen om en Social Investeringsfond, men mener at der er en række forhold, som det er vigtigt at forholde sig til for at sikre, at en sådan model ikke for uhensigtsmæssige konsekvenser. Bl.a. Opfølgning på og udbredelse/ </w:t>
      </w:r>
      <w:r w:rsidRPr="00963DC9">
        <w:rPr>
          <w:i/>
          <w:iCs/>
        </w:rPr>
        <w:t xml:space="preserve">implementering af indsatser efter deres afslutning og risiko for vilkårlighed og skævvridning i, hvor indsatser prioriteres. DH mener, at det bør fremgå, at resultater kan omfatte mere end bedre økonomiske resultater, herunder fx livskvalitet og at der sker en </w:t>
      </w:r>
      <w:r w:rsidRPr="00963DC9">
        <w:rPr>
          <w:i/>
          <w:iCs/>
        </w:rPr>
        <w:lastRenderedPageBreak/>
        <w:t>vidensopbygning på de områder og for de målgrupper, som der i dag ikke er så meget viden om</w:t>
      </w:r>
      <w:r>
        <w:rPr>
          <w:rStyle w:val="Fodnotehenvisning"/>
          <w:i/>
          <w:iCs/>
        </w:rPr>
        <w:footnoteReference w:id="12"/>
      </w:r>
      <w:r w:rsidRPr="00963DC9">
        <w:rPr>
          <w:i/>
          <w:iCs/>
        </w:rPr>
        <w:t>.</w:t>
      </w:r>
    </w:p>
    <w:p w:rsidR="00D6364E" w:rsidRDefault="00D6364E" w:rsidP="00D6364E">
      <w:pPr>
        <w:pStyle w:val="Overskrift2"/>
      </w:pPr>
      <w:r>
        <w:t>Ny hovedlov som helhedsorienteret indsats for borgere med komplekse problemer</w:t>
      </w:r>
    </w:p>
    <w:p w:rsidR="00D6364E" w:rsidRDefault="00D6364E" w:rsidP="00452854">
      <w:pPr>
        <w:rPr>
          <w:szCs w:val="26"/>
        </w:rPr>
      </w:pPr>
      <w:r w:rsidRPr="00452854">
        <w:rPr>
          <w:szCs w:val="26"/>
        </w:rPr>
        <w:t>Lovforslaget fremgår ikke at lovkataloget, men regeringen er kommet et udspil</w:t>
      </w:r>
      <w:r w:rsidR="00452854">
        <w:rPr>
          <w:szCs w:val="26"/>
        </w:rPr>
        <w:t xml:space="preserve">, hvor den </w:t>
      </w:r>
      <w:r w:rsidR="00452854" w:rsidRPr="00452854">
        <w:rPr>
          <w:rFonts w:eastAsiaTheme="minorHAnsi"/>
          <w:color w:val="00260D"/>
          <w:szCs w:val="26"/>
          <w:lang w:eastAsia="en-US"/>
        </w:rPr>
        <w:t>foreslår en række initiativer, som</w:t>
      </w:r>
      <w:r w:rsidR="00452854">
        <w:rPr>
          <w:rFonts w:eastAsiaTheme="minorHAnsi"/>
          <w:color w:val="00260D"/>
          <w:szCs w:val="26"/>
          <w:lang w:eastAsia="en-US"/>
        </w:rPr>
        <w:t xml:space="preserve"> </w:t>
      </w:r>
      <w:r w:rsidR="00452854" w:rsidRPr="00452854">
        <w:rPr>
          <w:rFonts w:eastAsiaTheme="minorHAnsi"/>
          <w:color w:val="00260D"/>
          <w:szCs w:val="26"/>
          <w:lang w:eastAsia="en-US"/>
        </w:rPr>
        <w:t>skal bidrage til at give borgeren og familier en langt mere helhedsorienteret</w:t>
      </w:r>
      <w:r w:rsidR="00452854">
        <w:rPr>
          <w:rFonts w:eastAsiaTheme="minorHAnsi"/>
          <w:color w:val="00260D"/>
          <w:szCs w:val="26"/>
          <w:lang w:eastAsia="en-US"/>
        </w:rPr>
        <w:t xml:space="preserve"> </w:t>
      </w:r>
      <w:r w:rsidR="00452854" w:rsidRPr="00452854">
        <w:rPr>
          <w:rFonts w:eastAsiaTheme="minorHAnsi"/>
          <w:color w:val="00260D"/>
          <w:szCs w:val="26"/>
          <w:lang w:eastAsia="en-US"/>
        </w:rPr>
        <w:t>indsats. Kernen i reformen er forslaget om en helt ny hovedlov, der</w:t>
      </w:r>
      <w:r w:rsidR="00452854">
        <w:rPr>
          <w:rFonts w:eastAsiaTheme="minorHAnsi"/>
          <w:color w:val="00260D"/>
          <w:szCs w:val="26"/>
          <w:lang w:eastAsia="en-US"/>
        </w:rPr>
        <w:t xml:space="preserve"> </w:t>
      </w:r>
      <w:r w:rsidR="00452854" w:rsidRPr="00452854">
        <w:rPr>
          <w:rFonts w:eastAsiaTheme="minorHAnsi"/>
          <w:color w:val="00260D"/>
          <w:szCs w:val="26"/>
          <w:lang w:eastAsia="en-US"/>
        </w:rPr>
        <w:t>sammentænker, og går på tværs af, syv forskellige sektorlove på de store</w:t>
      </w:r>
      <w:r w:rsidR="00452854">
        <w:rPr>
          <w:rFonts w:eastAsiaTheme="minorHAnsi"/>
          <w:color w:val="00260D"/>
          <w:szCs w:val="26"/>
          <w:lang w:eastAsia="en-US"/>
        </w:rPr>
        <w:t xml:space="preserve"> </w:t>
      </w:r>
      <w:r w:rsidR="00452854" w:rsidRPr="00452854">
        <w:rPr>
          <w:rFonts w:eastAsiaTheme="minorHAnsi"/>
          <w:color w:val="00260D"/>
          <w:szCs w:val="26"/>
          <w:lang w:eastAsia="en-US"/>
        </w:rPr>
        <w:t>velfærdsområder</w:t>
      </w:r>
      <w:r w:rsidR="00452854">
        <w:rPr>
          <w:rStyle w:val="Fodnotehenvisning"/>
          <w:rFonts w:eastAsiaTheme="minorHAnsi"/>
          <w:color w:val="00260D"/>
          <w:szCs w:val="26"/>
          <w:lang w:eastAsia="en-US"/>
        </w:rPr>
        <w:footnoteReference w:id="13"/>
      </w:r>
      <w:r w:rsidR="00452854" w:rsidRPr="00452854">
        <w:rPr>
          <w:rFonts w:eastAsiaTheme="minorHAnsi"/>
          <w:color w:val="00260D"/>
          <w:szCs w:val="26"/>
          <w:lang w:eastAsia="en-US"/>
        </w:rPr>
        <w:t>.</w:t>
      </w:r>
      <w:r w:rsidRPr="00452854">
        <w:rPr>
          <w:szCs w:val="26"/>
        </w:rPr>
        <w:t xml:space="preserve"> </w:t>
      </w:r>
    </w:p>
    <w:p w:rsidR="00452854" w:rsidRPr="00452854" w:rsidRDefault="00452854" w:rsidP="00452854">
      <w:pPr>
        <w:rPr>
          <w:szCs w:val="26"/>
        </w:rPr>
      </w:pPr>
    </w:p>
    <w:p w:rsidR="00452854" w:rsidRDefault="00452854" w:rsidP="00452854">
      <w:pPr>
        <w:rPr>
          <w:i/>
          <w:color w:val="000000"/>
          <w:szCs w:val="26"/>
        </w:rPr>
      </w:pPr>
      <w:r w:rsidRPr="00452854">
        <w:rPr>
          <w:i/>
          <w:color w:val="000000"/>
          <w:szCs w:val="26"/>
        </w:rPr>
        <w:t>DH er positiv overfor udspillet og lovforslaget. Mennesker med handicap kan ofte have flere problemer på én gang: Arbejdsløshed, sundhedsproblemer og sociale udfordringer. Her kan man møde en jungle af sagsbehandlere og planer, der skaber stress og forvirring. Derfor er det positivt, at regeringen vil skabe en mere helhedsorienteret indsats med én samlet plan for borgerne og koordinerende sagsbehandlere. Det er dog vigtigt at fastholde borgernes retssikkerhed, når vi laver reglerne om. Borgerne skal have sikkerhed for hjælp og støtte og kunne klage, hvis det offentlige begår fejl i sagerne. DH følger sagen</w:t>
      </w:r>
      <w:r>
        <w:rPr>
          <w:rStyle w:val="Fodnotehenvisning"/>
          <w:i/>
          <w:color w:val="000000"/>
          <w:szCs w:val="26"/>
        </w:rPr>
        <w:footnoteReference w:id="14"/>
      </w:r>
      <w:r w:rsidRPr="00452854">
        <w:rPr>
          <w:i/>
          <w:color w:val="000000"/>
          <w:szCs w:val="26"/>
        </w:rPr>
        <w:t xml:space="preserve">. </w:t>
      </w:r>
    </w:p>
    <w:p w:rsidR="00790729" w:rsidRDefault="00790729" w:rsidP="00790729">
      <w:pPr>
        <w:pStyle w:val="Overskrift2"/>
      </w:pPr>
      <w:r>
        <w:t>Sundhedsministeren</w:t>
      </w:r>
    </w:p>
    <w:p w:rsidR="00790729" w:rsidRPr="00790729" w:rsidRDefault="00790729" w:rsidP="00790729">
      <w:pPr>
        <w:rPr>
          <w:b/>
          <w:sz w:val="22"/>
        </w:rPr>
      </w:pPr>
      <w:r w:rsidRPr="00790729">
        <w:rPr>
          <w:b/>
        </w:rPr>
        <w:t xml:space="preserve">Ændring af lov om forsøgsordning med medicinsk cannabis mv. </w:t>
      </w:r>
    </w:p>
    <w:p w:rsidR="00790729" w:rsidRDefault="00790729" w:rsidP="00790729">
      <w:r>
        <w:t xml:space="preserve">Det foreslås bl.a. at indføre en særskilt tilskudsordning til cannabisprodukter i den fireårige forsøgsperiode. </w:t>
      </w:r>
    </w:p>
    <w:p w:rsidR="00790729" w:rsidRDefault="00790729" w:rsidP="00790729"/>
    <w:p w:rsidR="00790729" w:rsidRPr="00790729" w:rsidRDefault="00790729" w:rsidP="00790729">
      <w:pPr>
        <w:rPr>
          <w:i/>
          <w:iCs/>
        </w:rPr>
      </w:pPr>
      <w:r w:rsidRPr="00790729">
        <w:rPr>
          <w:i/>
        </w:rPr>
        <w:t>DH mener, at e</w:t>
      </w:r>
      <w:r w:rsidRPr="00790729">
        <w:rPr>
          <w:i/>
          <w:iCs/>
        </w:rPr>
        <w:t>genbetalingen stadig vil være høj for visse grupper, men den foreslåede tilskudsordning er en forbedring, som DH støtter</w:t>
      </w:r>
      <w:r>
        <w:rPr>
          <w:rStyle w:val="Fodnotehenvisning"/>
          <w:i/>
          <w:iCs/>
        </w:rPr>
        <w:footnoteReference w:id="15"/>
      </w:r>
      <w:r w:rsidRPr="00790729">
        <w:rPr>
          <w:i/>
          <w:iCs/>
        </w:rPr>
        <w:t xml:space="preserve">. </w:t>
      </w:r>
    </w:p>
    <w:p w:rsidR="00790729" w:rsidRDefault="00790729" w:rsidP="00790729"/>
    <w:p w:rsidR="00790729" w:rsidRPr="00790729" w:rsidRDefault="00790729" w:rsidP="00790729">
      <w:pPr>
        <w:rPr>
          <w:bCs/>
        </w:rPr>
      </w:pPr>
      <w:r>
        <w:rPr>
          <w:b/>
          <w:bCs/>
        </w:rPr>
        <w:t xml:space="preserve">Ændring af lov om regionernes finansiering </w:t>
      </w:r>
      <w:r w:rsidRPr="00790729">
        <w:rPr>
          <w:bCs/>
        </w:rPr>
        <w:t xml:space="preserve">(Ændring af det statslige bidrag til finansiering af regionerne) </w:t>
      </w:r>
    </w:p>
    <w:p w:rsidR="00790729" w:rsidRDefault="00790729" w:rsidP="00790729">
      <w:r>
        <w:t xml:space="preserve">Lovforslaget afskaffer kravet om årlige produktivitetsforbedringer på 2 pct. på sygehusene. I stedet indføres ”nærhedsfinansiering” og et teknologibidrag. Tanken er at belønne fokus på sammenhæng, forebyggelse af indlæggelse og genindlæggelser på sygehus og øget anvendelse af telemedicin. Ændringen er et led i regeringens sundhedsreform. </w:t>
      </w:r>
    </w:p>
    <w:p w:rsidR="00790729" w:rsidRDefault="00790729" w:rsidP="00790729"/>
    <w:p w:rsidR="00790729" w:rsidRDefault="00790729" w:rsidP="00790729">
      <w:pPr>
        <w:rPr>
          <w:i/>
          <w:iCs/>
        </w:rPr>
      </w:pPr>
      <w:r>
        <w:rPr>
          <w:i/>
          <w:iCs/>
        </w:rPr>
        <w:t xml:space="preserve">DH er tilfredse med, at produktivitetskravet forsvinder, og at der sættes fokus på sammenhæng og bedre patientforløb. Der er dog en række usikkerheder, vi ikke kender svaret på endnu. Udbygningen af det nære sundhedsvæsen må ikke føre til ringere kvalitet, større forskelle og tab af specialviden. </w:t>
      </w:r>
    </w:p>
    <w:p w:rsidR="00790729" w:rsidRDefault="00790729" w:rsidP="00790729"/>
    <w:p w:rsidR="00790729" w:rsidRDefault="00790729" w:rsidP="00F47AB3">
      <w:r>
        <w:rPr>
          <w:b/>
          <w:bCs/>
        </w:rPr>
        <w:t xml:space="preserve">Ændring af sundhedsloven </w:t>
      </w:r>
      <w:r w:rsidRPr="00790729">
        <w:rPr>
          <w:bCs/>
        </w:rPr>
        <w:t>(Forenkling af høreapparatområdet m.v.)</w:t>
      </w:r>
      <w:r>
        <w:t xml:space="preserve"> </w:t>
      </w:r>
    </w:p>
    <w:p w:rsidR="00790729" w:rsidRDefault="00790729" w:rsidP="00F47AB3">
      <w:r>
        <w:t>Formålet med lovforslaget er at sikre borgere med høretab en hurtig, effektiv og sammenhængende behandling i offentligt eller privat regi.</w:t>
      </w:r>
    </w:p>
    <w:p w:rsidR="00790729" w:rsidRDefault="00790729" w:rsidP="00F47AB3"/>
    <w:p w:rsidR="00790729" w:rsidRDefault="00790729" w:rsidP="00F47AB3">
      <w:pPr>
        <w:rPr>
          <w:i/>
          <w:iCs/>
        </w:rPr>
      </w:pPr>
      <w:r>
        <w:rPr>
          <w:i/>
          <w:iCs/>
        </w:rPr>
        <w:t xml:space="preserve">DH er umiddelbart positiv, men afventer det nærmere indhold i lovforslaget. </w:t>
      </w:r>
    </w:p>
    <w:p w:rsidR="00790729" w:rsidRDefault="00790729" w:rsidP="00F47AB3"/>
    <w:p w:rsidR="00790729" w:rsidRDefault="00790729" w:rsidP="00F47AB3">
      <w:pPr>
        <w:rPr>
          <w:b/>
          <w:bCs/>
        </w:rPr>
      </w:pPr>
      <w:r>
        <w:rPr>
          <w:b/>
          <w:bCs/>
        </w:rPr>
        <w:t>Lovgivning på vej</w:t>
      </w:r>
    </w:p>
    <w:p w:rsidR="00790729" w:rsidRDefault="00790729" w:rsidP="00F47AB3">
      <w:r>
        <w:t xml:space="preserve">Regeringen har fremlagt eller vil fremlægge en række større udspil med betydning for sundhedsområdet: Psykiatriplan (september), sundhedsreform og sammenhængsreform.  De forventes at medføre lovændringer, der </w:t>
      </w:r>
      <w:proofErr w:type="gramStart"/>
      <w:r>
        <w:t>er ikke</w:t>
      </w:r>
      <w:proofErr w:type="gramEnd"/>
      <w:r>
        <w:t xml:space="preserve"> er med i lovkataloget. </w:t>
      </w:r>
    </w:p>
    <w:p w:rsidR="00D6364E" w:rsidRDefault="00D6364E" w:rsidP="00F47AB3">
      <w:pPr>
        <w:pStyle w:val="Overskrift2"/>
        <w:jc w:val="both"/>
      </w:pPr>
      <w:r>
        <w:t>Transport, bygnings- og boligministeren</w:t>
      </w:r>
    </w:p>
    <w:p w:rsidR="006D0AFF" w:rsidRPr="006D0AFF" w:rsidRDefault="006D0AFF" w:rsidP="00F47AB3">
      <w:pPr>
        <w:rPr>
          <w:sz w:val="22"/>
        </w:rPr>
      </w:pPr>
      <w:r w:rsidRPr="006D0AFF">
        <w:rPr>
          <w:b/>
        </w:rPr>
        <w:t>Ændring af lov om trafikselskaber</w:t>
      </w:r>
      <w:proofErr w:type="gramStart"/>
      <w:r w:rsidRPr="006D0AFF">
        <w:t xml:space="preserve"> (</w:t>
      </w:r>
      <w:proofErr w:type="spellStart"/>
      <w:r w:rsidRPr="006D0AFF">
        <w:t>Muliggørelse</w:t>
      </w:r>
      <w:proofErr w:type="spellEnd"/>
      <w:r w:rsidRPr="006D0AFF">
        <w:t xml:space="preserve"> af digitale infrastrukturløsninger</w:t>
      </w:r>
      <w:proofErr w:type="gramEnd"/>
    </w:p>
    <w:p w:rsidR="006D0AFF" w:rsidRDefault="006D0AFF" w:rsidP="00F47AB3">
      <w:r w:rsidRPr="006D0AFF">
        <w:t xml:space="preserve">m.v.) </w:t>
      </w:r>
    </w:p>
    <w:p w:rsidR="006D0AFF" w:rsidRPr="006D0AFF" w:rsidRDefault="006D0AFF" w:rsidP="00F47AB3">
      <w:r w:rsidRPr="006D0AFF">
        <w:t>Formålet med lovforslaget er at muliggøre en modernisering af vilkårene for passagervendte</w:t>
      </w:r>
      <w:r>
        <w:t xml:space="preserve"> </w:t>
      </w:r>
      <w:r w:rsidRPr="006D0AFF">
        <w:t>transport- og mobilitetsløsninger, herunder for så vidt angår udviklingen af digitale infrastrukturløsninger.</w:t>
      </w:r>
      <w:r>
        <w:t xml:space="preserve"> </w:t>
      </w:r>
      <w:r w:rsidRPr="006D0AFF">
        <w:t>Lovforslaget omfatter endvidere en forenkling af afstandskravet til fjernbuskørsel.</w:t>
      </w:r>
      <w:r>
        <w:t xml:space="preserve"> </w:t>
      </w:r>
    </w:p>
    <w:p w:rsidR="006D0AFF" w:rsidRPr="006D0AFF" w:rsidRDefault="006D0AFF" w:rsidP="00F47AB3"/>
    <w:p w:rsidR="006D0AFF" w:rsidRPr="006D0AFF" w:rsidRDefault="006D0AFF" w:rsidP="00F47AB3">
      <w:r w:rsidRPr="006D0AFF">
        <w:t xml:space="preserve">Ændringen omhandler bl.a. muligheden for at få vist f.eks. fjernbusser i rejseplanen. Derudover vil man forenkle afstandskravet til fjernbuskørsel, hvilket vil give mulighed for at udbyde fjernbuskørsel på kortere afstande og hermed flere fjernbusruter. </w:t>
      </w:r>
    </w:p>
    <w:p w:rsidR="006D0AFF" w:rsidRPr="006D0AFF" w:rsidRDefault="006D0AFF" w:rsidP="00F47AB3"/>
    <w:p w:rsidR="006D0AFF" w:rsidRPr="006D0AFF" w:rsidRDefault="006D0AFF" w:rsidP="00F47AB3">
      <w:pPr>
        <w:rPr>
          <w:i/>
        </w:rPr>
      </w:pPr>
      <w:r w:rsidRPr="006D0AFF">
        <w:rPr>
          <w:i/>
        </w:rPr>
        <w:t>DH mener, det er vigtigt, at man sikrer, at alle passagervendte infrastrukturløsninger er tilgængelige for mennesker med handicap. Desuden skal det være muligt at se, hvilke fjernbusafgange, der er tilgængelige for mennesker med handicap. Derudover mener vi, at man ved udbud af flere fjernbusruter skal sikre flere tilgængelige afgange og mulighed for assistance.</w:t>
      </w:r>
    </w:p>
    <w:p w:rsidR="00452854" w:rsidRDefault="00452854" w:rsidP="00F47AB3">
      <w:pPr>
        <w:pStyle w:val="Overskrift2"/>
        <w:jc w:val="both"/>
      </w:pPr>
      <w:r>
        <w:t xml:space="preserve">Undervisningsministeren </w:t>
      </w:r>
    </w:p>
    <w:p w:rsidR="00452854" w:rsidRDefault="00452854" w:rsidP="00F47AB3">
      <w:pPr>
        <w:rPr>
          <w:bCs/>
          <w:color w:val="00260D"/>
          <w:szCs w:val="26"/>
        </w:rPr>
      </w:pPr>
      <w:r w:rsidRPr="00452854">
        <w:rPr>
          <w:b/>
          <w:bCs/>
          <w:color w:val="00260D"/>
          <w:szCs w:val="26"/>
        </w:rPr>
        <w:t xml:space="preserve">Ændring af lov om folkeskolen, lov om institutioner for almengymnasiale uddannelser og almen voksenuddannelse m.v. </w:t>
      </w:r>
      <w:r w:rsidRPr="00452854">
        <w:rPr>
          <w:bCs/>
          <w:color w:val="00260D"/>
          <w:szCs w:val="26"/>
        </w:rPr>
        <w:t>(Obligatoriske sprogprøver i udsatte boligområder, konsekvent indgriben overfor dårligt præsterende folkeskoler og ungdomsuddannelsesinstitutioner, styrket forældreansvar gennem mulighed for standsning af børnecheck m.v.)</w:t>
      </w:r>
    </w:p>
    <w:p w:rsidR="00452854" w:rsidRPr="00452854" w:rsidRDefault="00452854" w:rsidP="00F47AB3">
      <w:pPr>
        <w:rPr>
          <w:bCs/>
          <w:color w:val="00260D"/>
          <w:szCs w:val="26"/>
        </w:rPr>
      </w:pPr>
    </w:p>
    <w:p w:rsidR="00452854" w:rsidRPr="00452854" w:rsidRDefault="00452854" w:rsidP="00F47AB3">
      <w:pPr>
        <w:jc w:val="left"/>
        <w:rPr>
          <w:color w:val="000000"/>
          <w:szCs w:val="26"/>
        </w:rPr>
      </w:pPr>
      <w:r w:rsidRPr="00452854">
        <w:rPr>
          <w:color w:val="000000"/>
          <w:szCs w:val="26"/>
        </w:rPr>
        <w:t>Som led i lovforslaget fastsættes regler om mulighed for bortfald af børnecheck for elever, som ikke deltager i undervisningen i folkeskolen. Lovforslaget er en opfølgning på aftalen på undervisningsområdet om at bekæmpe parallelsamfund fra maj 2018.</w:t>
      </w:r>
    </w:p>
    <w:p w:rsidR="00452854" w:rsidRPr="00452854" w:rsidRDefault="00452854" w:rsidP="00452854">
      <w:pPr>
        <w:rPr>
          <w:b/>
          <w:bCs/>
          <w:szCs w:val="26"/>
        </w:rPr>
      </w:pPr>
    </w:p>
    <w:p w:rsidR="00452854" w:rsidRPr="00452854" w:rsidRDefault="00F47AB3" w:rsidP="00452854">
      <w:pPr>
        <w:rPr>
          <w:szCs w:val="26"/>
        </w:rPr>
      </w:pPr>
      <w:r w:rsidRPr="00F47AB3">
        <w:rPr>
          <w:i/>
          <w:szCs w:val="26"/>
        </w:rPr>
        <w:t>DH</w:t>
      </w:r>
      <w:r w:rsidR="00452854" w:rsidRPr="00F47AB3">
        <w:rPr>
          <w:i/>
          <w:szCs w:val="26"/>
        </w:rPr>
        <w:t xml:space="preserve"> er bekymret for, at forslaget vil have uhensigtsmæssige konsekvenser og kommer til at ramme familier med børn, der ikke kommer i skole på grund af handicap</w:t>
      </w:r>
      <w:r>
        <w:rPr>
          <w:rStyle w:val="Fodnotehenvisning"/>
          <w:i/>
          <w:szCs w:val="26"/>
        </w:rPr>
        <w:footnoteReference w:id="16"/>
      </w:r>
      <w:r w:rsidR="00452854" w:rsidRPr="00F47AB3">
        <w:rPr>
          <w:i/>
          <w:szCs w:val="26"/>
        </w:rPr>
        <w:t>.</w:t>
      </w:r>
      <w:r w:rsidR="00452854" w:rsidRPr="00452854">
        <w:rPr>
          <w:szCs w:val="26"/>
        </w:rPr>
        <w:t xml:space="preserve"> </w:t>
      </w:r>
    </w:p>
    <w:p w:rsidR="00452854" w:rsidRPr="00452854" w:rsidRDefault="00452854" w:rsidP="00452854">
      <w:pPr>
        <w:rPr>
          <w:color w:val="000000"/>
          <w:szCs w:val="26"/>
        </w:rPr>
      </w:pPr>
    </w:p>
    <w:p w:rsidR="00452854" w:rsidRPr="00452854" w:rsidRDefault="00452854" w:rsidP="00F47AB3">
      <w:pPr>
        <w:rPr>
          <w:b/>
          <w:bCs/>
          <w:color w:val="00260D"/>
          <w:szCs w:val="26"/>
        </w:rPr>
      </w:pPr>
      <w:r w:rsidRPr="00452854">
        <w:rPr>
          <w:b/>
          <w:bCs/>
          <w:color w:val="00260D"/>
          <w:szCs w:val="26"/>
        </w:rPr>
        <w:t xml:space="preserve">Ændring af lov om folkeskolen </w:t>
      </w:r>
      <w:r w:rsidRPr="00F47AB3">
        <w:rPr>
          <w:bCs/>
          <w:color w:val="00260D"/>
          <w:szCs w:val="26"/>
        </w:rPr>
        <w:t>(Justeringer af folkeskolereformen)</w:t>
      </w:r>
    </w:p>
    <w:p w:rsidR="00452854" w:rsidRPr="00452854" w:rsidRDefault="00452854" w:rsidP="00F47AB3">
      <w:pPr>
        <w:pStyle w:val="Default"/>
        <w:jc w:val="both"/>
        <w:rPr>
          <w:rFonts w:ascii="Times New Roman" w:hAnsi="Times New Roman"/>
          <w:sz w:val="26"/>
          <w:szCs w:val="26"/>
        </w:rPr>
      </w:pPr>
      <w:r w:rsidRPr="00452854">
        <w:rPr>
          <w:rFonts w:ascii="Times New Roman" w:hAnsi="Times New Roman"/>
          <w:sz w:val="26"/>
          <w:szCs w:val="26"/>
        </w:rPr>
        <w:t>Lovforslaget har til formål at følge op på regeringens udspil ”Folkets skole: Faglighed, dannelse og frihed - Justeringer af folkeskolereformen” fra september 2018. Med udspillet foreslås blandt andet at forkorte skoledagen ved at reducere den understøttende undervisning. Samtidigt skal fagligheden styrkes ved at øge antallet af fagtimer. Det betyder, at skoleugens længde gennemsnitligt forkortes ca. 1,8 time ugentligt inkl. pauser pr. klassetrin. Udspillet forhandles i øjeblikket med Folketingets partier.</w:t>
      </w:r>
    </w:p>
    <w:p w:rsidR="00452854" w:rsidRPr="00452854" w:rsidRDefault="00452854" w:rsidP="00F47AB3">
      <w:pPr>
        <w:rPr>
          <w:b/>
          <w:bCs/>
          <w:color w:val="000000"/>
          <w:szCs w:val="26"/>
        </w:rPr>
      </w:pPr>
    </w:p>
    <w:p w:rsidR="00452854" w:rsidRPr="00F47AB3" w:rsidRDefault="00F47AB3" w:rsidP="00F47AB3">
      <w:pPr>
        <w:rPr>
          <w:i/>
          <w:color w:val="000000"/>
          <w:szCs w:val="26"/>
        </w:rPr>
      </w:pPr>
      <w:r w:rsidRPr="00F47AB3">
        <w:rPr>
          <w:i/>
          <w:color w:val="000000"/>
          <w:szCs w:val="26"/>
        </w:rPr>
        <w:t>DH</w:t>
      </w:r>
      <w:r w:rsidR="00452854" w:rsidRPr="00F47AB3">
        <w:rPr>
          <w:i/>
          <w:color w:val="000000"/>
          <w:szCs w:val="26"/>
        </w:rPr>
        <w:t xml:space="preserve"> følger justeringen af folkeskolereformen med blik for konsekvenserne heraf for børn med handicap.</w:t>
      </w:r>
    </w:p>
    <w:p w:rsidR="00452854" w:rsidRPr="00452854" w:rsidRDefault="00452854" w:rsidP="00452854">
      <w:pPr>
        <w:rPr>
          <w:szCs w:val="26"/>
        </w:rPr>
      </w:pPr>
    </w:p>
    <w:p w:rsidR="00452854" w:rsidRPr="00F47AB3" w:rsidRDefault="00452854" w:rsidP="00452854">
      <w:pPr>
        <w:rPr>
          <w:bCs/>
          <w:color w:val="00260D"/>
          <w:szCs w:val="26"/>
        </w:rPr>
      </w:pPr>
      <w:r w:rsidRPr="00452854">
        <w:rPr>
          <w:b/>
          <w:bCs/>
          <w:color w:val="00260D"/>
          <w:szCs w:val="26"/>
        </w:rPr>
        <w:t xml:space="preserve">Ændring af forskellige love på Undervisningsministeriets område og lov om specialpædagogisk støtte ved videregående uddannelser </w:t>
      </w:r>
      <w:r w:rsidRPr="00F47AB3">
        <w:rPr>
          <w:bCs/>
          <w:color w:val="00260D"/>
          <w:szCs w:val="26"/>
        </w:rPr>
        <w:t>(Frit leverandørvalg på tegnsprogs- og skrivetolkeområdet (levering af tolkebistand til døve, døvblinde og svært hørehæmmede), adgang til specialpædagogisk støtte på voksen- og efteruddannelsesområdet og i overgangen mellem uddannelsesniveauer)</w:t>
      </w:r>
    </w:p>
    <w:p w:rsidR="00452854" w:rsidRPr="00452854" w:rsidRDefault="00452854" w:rsidP="00452854">
      <w:pPr>
        <w:rPr>
          <w:color w:val="000000"/>
          <w:szCs w:val="26"/>
        </w:rPr>
      </w:pPr>
      <w:r w:rsidRPr="00452854">
        <w:rPr>
          <w:color w:val="000000"/>
          <w:szCs w:val="26"/>
        </w:rPr>
        <w:t xml:space="preserve">Lovforslaget har til formål at give undervisningsministeren bemyndigelse til at fastsætte regler om frit leverandørvalg for elever, kursister og studerende, der er berettigede til at modtage specialpædagogiske støtteydelser (tegnsprogs- og skrivetolkeområdet). Bemyndigelsen omfatter endvidere mulighed for etablering af frit leverandørvalg inden for andre støtteformer end tegnsprogs- og skrivetolkning. </w:t>
      </w:r>
    </w:p>
    <w:p w:rsidR="00452854" w:rsidRPr="00452854" w:rsidRDefault="00452854" w:rsidP="00452854">
      <w:pPr>
        <w:rPr>
          <w:color w:val="000000"/>
          <w:szCs w:val="26"/>
        </w:rPr>
      </w:pPr>
    </w:p>
    <w:p w:rsidR="00452854" w:rsidRPr="00F47AB3" w:rsidRDefault="00F47AB3" w:rsidP="00452854">
      <w:pPr>
        <w:rPr>
          <w:i/>
          <w:color w:val="000000"/>
          <w:szCs w:val="26"/>
        </w:rPr>
      </w:pPr>
      <w:r w:rsidRPr="00F47AB3">
        <w:rPr>
          <w:i/>
          <w:color w:val="000000"/>
          <w:szCs w:val="26"/>
        </w:rPr>
        <w:t>DH</w:t>
      </w:r>
      <w:r w:rsidR="00452854" w:rsidRPr="00F47AB3">
        <w:rPr>
          <w:i/>
          <w:color w:val="000000"/>
          <w:szCs w:val="26"/>
        </w:rPr>
        <w:t xml:space="preserve"> vurderer, at det er et fint forslag, som vil gøre det lettere for elever og studerende med handicap at medbringe hjælpemidler </w:t>
      </w:r>
    </w:p>
    <w:p w:rsidR="00452854" w:rsidRPr="00452854" w:rsidRDefault="00452854" w:rsidP="00452854">
      <w:pPr>
        <w:rPr>
          <w:szCs w:val="26"/>
          <w:lang w:eastAsia="en-US"/>
        </w:rPr>
      </w:pPr>
    </w:p>
    <w:p w:rsidR="00D6364E" w:rsidRDefault="00D6364E" w:rsidP="00D6364E">
      <w:pPr>
        <w:rPr>
          <w:color w:val="FF0000"/>
          <w:lang w:eastAsia="en-US"/>
        </w:rPr>
      </w:pPr>
    </w:p>
    <w:p w:rsidR="00D6364E" w:rsidRPr="00963DC9" w:rsidRDefault="00D6364E" w:rsidP="00914FFD"/>
    <w:p w:rsidR="00963DC9" w:rsidRPr="00963DC9" w:rsidRDefault="00963DC9" w:rsidP="00963DC9">
      <w:pPr>
        <w:rPr>
          <w:lang w:eastAsia="en-US"/>
        </w:rPr>
      </w:pPr>
    </w:p>
    <w:sectPr w:rsidR="00963DC9" w:rsidRPr="00963DC9"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C8" w:rsidRDefault="006111C8">
      <w:r>
        <w:separator/>
      </w:r>
    </w:p>
  </w:endnote>
  <w:endnote w:type="continuationSeparator" w:id="0">
    <w:p w:rsidR="006111C8" w:rsidRDefault="0061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Default="00B2060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Default="00B2060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B46EB">
      <w:rPr>
        <w:rStyle w:val="Sidetal"/>
        <w:rFonts w:eastAsiaTheme="majorEastAsia"/>
        <w:noProof/>
      </w:rPr>
      <w:t>9</w:t>
    </w:r>
    <w:r>
      <w:rPr>
        <w:rStyle w:val="Sidetal"/>
        <w:rFonts w:eastAsiaTheme="majorEastAsia"/>
      </w:rPr>
      <w:fldChar w:fldCharType="end"/>
    </w:r>
  </w:p>
  <w:p w:rsidR="00F076A9" w:rsidRDefault="00F076A9">
    <w:pPr>
      <w:pStyle w:val="Sidefod"/>
      <w:framePr w:wrap="around" w:vAnchor="text" w:hAnchor="margin" w:xAlign="right" w:y="1"/>
      <w:rPr>
        <w:rStyle w:val="Sidetal"/>
        <w:rFonts w:eastAsiaTheme="majorEastAsia"/>
      </w:rPr>
    </w:pPr>
  </w:p>
  <w:p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C8" w:rsidRDefault="006111C8">
      <w:r>
        <w:separator/>
      </w:r>
    </w:p>
  </w:footnote>
  <w:footnote w:type="continuationSeparator" w:id="0">
    <w:p w:rsidR="006111C8" w:rsidRDefault="006111C8">
      <w:r>
        <w:continuationSeparator/>
      </w:r>
    </w:p>
  </w:footnote>
  <w:footnote w:id="1">
    <w:p w:rsidR="00A801DA" w:rsidRDefault="00A801DA" w:rsidP="00A801DA">
      <w:pPr>
        <w:pStyle w:val="Fodnotetekst"/>
      </w:pPr>
      <w:r>
        <w:rPr>
          <w:rStyle w:val="Fodnotehenvisning"/>
        </w:rPr>
        <w:footnoteRef/>
      </w:r>
      <w:r w:rsidRPr="00A801DA">
        <w:t>http://www.stm.dk/multimedia/Lovgivning_-_Folketings_ret_2018-2019.pdf</w:t>
      </w:r>
      <w:r>
        <w:t xml:space="preserve"> </w:t>
      </w:r>
    </w:p>
  </w:footnote>
  <w:footnote w:id="2">
    <w:p w:rsidR="00963DC9" w:rsidRDefault="00963DC9" w:rsidP="00963DC9">
      <w:pPr>
        <w:rPr>
          <w:i/>
          <w:iCs/>
        </w:rPr>
      </w:pPr>
      <w:r>
        <w:rPr>
          <w:rStyle w:val="Fodnotehenvisning"/>
        </w:rPr>
        <w:footnoteRef/>
      </w:r>
      <w:r>
        <w:t xml:space="preserve"> </w:t>
      </w:r>
      <w:hyperlink r:id="rId1" w:history="1">
        <w:r>
          <w:rPr>
            <w:rStyle w:val="Hyperlink"/>
            <w:rFonts w:eastAsiaTheme="majorEastAsia"/>
            <w:i/>
            <w:iCs/>
            <w:sz w:val="24"/>
            <w:szCs w:val="24"/>
          </w:rPr>
          <w:t>https://www.handicap.dk/nyheder/nyhedsarkiv/positivt-handicapudspil-fra-regeringen/</w:t>
        </w:r>
      </w:hyperlink>
      <w:r>
        <w:rPr>
          <w:i/>
          <w:iCs/>
        </w:rPr>
        <w:t xml:space="preserve"> </w:t>
      </w:r>
    </w:p>
    <w:p w:rsidR="00963DC9" w:rsidRDefault="00963DC9">
      <w:pPr>
        <w:pStyle w:val="Fodnotetekst"/>
      </w:pPr>
    </w:p>
  </w:footnote>
  <w:footnote w:id="3">
    <w:p w:rsidR="00963DC9" w:rsidRDefault="00963DC9" w:rsidP="00963DC9">
      <w:pPr>
        <w:rPr>
          <w:i/>
          <w:iCs/>
        </w:rPr>
      </w:pPr>
      <w:r>
        <w:rPr>
          <w:rStyle w:val="Fodnotehenvisning"/>
        </w:rPr>
        <w:footnoteRef/>
      </w:r>
      <w:r>
        <w:t xml:space="preserve"> </w:t>
      </w:r>
      <w:hyperlink r:id="rId2" w:history="1">
        <w:r>
          <w:rPr>
            <w:rStyle w:val="Hyperlink"/>
            <w:rFonts w:eastAsiaTheme="majorEastAsia"/>
            <w:i/>
            <w:iCs/>
            <w:sz w:val="24"/>
            <w:szCs w:val="24"/>
          </w:rPr>
          <w:t>https://www.altinget.dk/arbejdsmarked/artikel/danske-handicaporganisationer-mennesker-med-handicap-kommer-i-klemme-med-nye-sanktioner</w:t>
        </w:r>
      </w:hyperlink>
      <w:r>
        <w:rPr>
          <w:i/>
          <w:iCs/>
        </w:rPr>
        <w:t xml:space="preserve"> </w:t>
      </w:r>
    </w:p>
    <w:p w:rsidR="00963DC9" w:rsidRDefault="00963DC9">
      <w:pPr>
        <w:pStyle w:val="Fodnotetekst"/>
      </w:pPr>
    </w:p>
  </w:footnote>
  <w:footnote w:id="4">
    <w:p w:rsidR="00963DC9" w:rsidRDefault="00963DC9">
      <w:pPr>
        <w:pStyle w:val="Fodnotetekst"/>
      </w:pPr>
      <w:r>
        <w:rPr>
          <w:rStyle w:val="Fodnotehenvisning"/>
        </w:rPr>
        <w:footnoteRef/>
      </w:r>
      <w:r>
        <w:t xml:space="preserve"> </w:t>
      </w:r>
      <w:hyperlink r:id="rId3" w:history="1">
        <w:r w:rsidRPr="00963DC9">
          <w:rPr>
            <w:rStyle w:val="Hyperlink"/>
            <w:rFonts w:eastAsiaTheme="majorEastAsia"/>
            <w:color w:val="auto"/>
          </w:rPr>
          <w:t>https://www.handicap.dk/politik/vidensbank/?id=2522</w:t>
        </w:r>
      </w:hyperlink>
    </w:p>
  </w:footnote>
  <w:footnote w:id="5">
    <w:p w:rsidR="0044174D" w:rsidRDefault="0044174D" w:rsidP="0044174D">
      <w:pPr>
        <w:pStyle w:val="Fodnotetekst"/>
      </w:pPr>
      <w:r>
        <w:rPr>
          <w:rStyle w:val="Fodnotehenvisning"/>
        </w:rPr>
        <w:footnoteRef/>
      </w:r>
      <w:r>
        <w:t xml:space="preserve"> </w:t>
      </w:r>
      <w:hyperlink r:id="rId4" w:history="1">
        <w:r w:rsidRPr="00963DC9">
          <w:rPr>
            <w:rStyle w:val="Hyperlink"/>
            <w:rFonts w:eastAsiaTheme="majorEastAsia"/>
            <w:color w:val="auto"/>
          </w:rPr>
          <w:t>https://www.handicap.dk/nyheder/nyhedsarkiv/overblik-over-nye-magtanvendelsesregler/</w:t>
        </w:r>
      </w:hyperlink>
    </w:p>
  </w:footnote>
  <w:footnote w:id="6">
    <w:p w:rsidR="0044174D" w:rsidRDefault="0044174D">
      <w:pPr>
        <w:pStyle w:val="Fodnotetekst"/>
      </w:pPr>
      <w:r>
        <w:rPr>
          <w:rStyle w:val="Fodnotehenvisning"/>
        </w:rPr>
        <w:footnoteRef/>
      </w:r>
      <w:r>
        <w:t xml:space="preserve"> </w:t>
      </w:r>
      <w:hyperlink r:id="rId5" w:history="1">
        <w:r w:rsidRPr="00963DC9">
          <w:rPr>
            <w:rStyle w:val="Hyperlink"/>
            <w:rFonts w:eastAsiaTheme="majorEastAsia"/>
            <w:color w:val="auto"/>
          </w:rPr>
          <w:t>https://www.altinget.dk/social/artikel/handicapformand-alle-tilbud-skal-have-et-aarligt-socialtilsyn</w:t>
        </w:r>
      </w:hyperlink>
      <w:r>
        <w:t xml:space="preserve"> </w:t>
      </w:r>
    </w:p>
    <w:p w:rsidR="0044174D" w:rsidRDefault="0044174D">
      <w:pPr>
        <w:pStyle w:val="Fodnotetekst"/>
      </w:pPr>
      <w:r w:rsidRPr="0044174D">
        <w:t>https://www.altinget.dk/social/artikel/danske-handicaporganisationer-socialtilsynet-skal-have-flere-muskler</w:t>
      </w:r>
    </w:p>
    <w:p w:rsidR="0044174D" w:rsidRDefault="0044174D">
      <w:pPr>
        <w:pStyle w:val="Fodnotetekst"/>
      </w:pPr>
    </w:p>
  </w:footnote>
  <w:footnote w:id="7">
    <w:p w:rsidR="00464A5B" w:rsidRDefault="00464A5B">
      <w:pPr>
        <w:pStyle w:val="Fodnotetekst"/>
      </w:pPr>
      <w:r>
        <w:rPr>
          <w:rStyle w:val="Fodnotehenvisning"/>
        </w:rPr>
        <w:footnoteRef/>
      </w:r>
      <w:r>
        <w:t xml:space="preserve"> </w:t>
      </w:r>
      <w:hyperlink r:id="rId6" w:history="1">
        <w:r w:rsidRPr="009D0809">
          <w:rPr>
            <w:rStyle w:val="Hyperlink"/>
          </w:rPr>
          <w:t>https://www.handicap.dk/files/2514/Overblik%20over%20forslag%20til%20finansloven%20for%202019%20.docx</w:t>
        </w:r>
      </w:hyperlink>
    </w:p>
    <w:p w:rsidR="00464A5B" w:rsidRDefault="00464A5B">
      <w:pPr>
        <w:pStyle w:val="Fodnotetekst"/>
      </w:pPr>
    </w:p>
  </w:footnote>
  <w:footnote w:id="8">
    <w:p w:rsidR="00580BC9" w:rsidRDefault="00580BC9">
      <w:pPr>
        <w:pStyle w:val="Fodnotetekst"/>
      </w:pPr>
      <w:r>
        <w:rPr>
          <w:rStyle w:val="Fodnotehenvisning"/>
        </w:rPr>
        <w:footnoteRef/>
      </w:r>
      <w:r>
        <w:t xml:space="preserve"> </w:t>
      </w:r>
      <w:hyperlink r:id="rId7" w:history="1">
        <w:r w:rsidRPr="00963DC9">
          <w:rPr>
            <w:rStyle w:val="Hyperlink"/>
            <w:rFonts w:eastAsiaTheme="majorEastAsia"/>
            <w:color w:val="auto"/>
          </w:rPr>
          <w:t>https://www.handicap.dk/politik/vidensbank/?id=2523</w:t>
        </w:r>
      </w:hyperlink>
    </w:p>
  </w:footnote>
  <w:footnote w:id="9">
    <w:p w:rsidR="00580BC9" w:rsidRDefault="00580BC9">
      <w:pPr>
        <w:pStyle w:val="Fodnotetekst"/>
      </w:pPr>
      <w:r>
        <w:rPr>
          <w:rStyle w:val="Fodnotehenvisning"/>
        </w:rPr>
        <w:footnoteRef/>
      </w:r>
      <w:r>
        <w:t xml:space="preserve"> </w:t>
      </w:r>
      <w:hyperlink r:id="rId8" w:history="1">
        <w:r w:rsidRPr="00963DC9">
          <w:rPr>
            <w:rStyle w:val="Hyperlink"/>
            <w:rFonts w:eastAsiaTheme="majorEastAsia"/>
            <w:color w:val="auto"/>
          </w:rPr>
          <w:t>https://www.handicap.dk/nyheder/nyhedsarkiv/giv-stemmeret-til-martin-med-handicap/</w:t>
        </w:r>
      </w:hyperlink>
    </w:p>
  </w:footnote>
  <w:footnote w:id="10">
    <w:p w:rsidR="00914FFD" w:rsidRDefault="00914FFD">
      <w:pPr>
        <w:pStyle w:val="Fodnotetekst"/>
      </w:pPr>
      <w:r>
        <w:rPr>
          <w:rStyle w:val="Fodnotehenvisning"/>
        </w:rPr>
        <w:footnoteRef/>
      </w:r>
      <w:r>
        <w:t xml:space="preserve"> </w:t>
      </w:r>
      <w:hyperlink r:id="rId9" w:history="1">
        <w:r w:rsidRPr="00C1725A">
          <w:rPr>
            <w:rStyle w:val="Hyperlink"/>
            <w:rFonts w:eastAsiaTheme="majorEastAsia"/>
            <w:color w:val="000000" w:themeColor="text1"/>
          </w:rPr>
          <w:t>https://www.handicap.dk/politik/vidensbank/?id=2527</w:t>
        </w:r>
      </w:hyperlink>
    </w:p>
  </w:footnote>
  <w:footnote w:id="11">
    <w:p w:rsidR="00914FFD" w:rsidRDefault="00914FFD">
      <w:pPr>
        <w:pStyle w:val="Fodnotetekst"/>
      </w:pPr>
      <w:r>
        <w:rPr>
          <w:rStyle w:val="Fodnotehenvisning"/>
        </w:rPr>
        <w:footnoteRef/>
      </w:r>
      <w:r>
        <w:t xml:space="preserve"> </w:t>
      </w:r>
      <w:hyperlink r:id="rId10" w:history="1">
        <w:r w:rsidRPr="00C1725A">
          <w:rPr>
            <w:rStyle w:val="Hyperlink"/>
            <w:rFonts w:eastAsiaTheme="majorEastAsia"/>
            <w:color w:val="000000" w:themeColor="text1"/>
          </w:rPr>
          <w:t>https://www.handicap.dk/politik/vidensbank/?id=2526</w:t>
        </w:r>
      </w:hyperlink>
    </w:p>
  </w:footnote>
  <w:footnote w:id="12">
    <w:p w:rsidR="00914FFD" w:rsidRDefault="00914FFD">
      <w:pPr>
        <w:pStyle w:val="Fodnotetekst"/>
      </w:pPr>
      <w:r>
        <w:rPr>
          <w:rStyle w:val="Fodnotehenvisning"/>
        </w:rPr>
        <w:footnoteRef/>
      </w:r>
      <w:r>
        <w:t xml:space="preserve"> </w:t>
      </w:r>
      <w:hyperlink r:id="rId11" w:history="1">
        <w:r w:rsidRPr="00963DC9">
          <w:rPr>
            <w:rStyle w:val="Hyperlink"/>
            <w:rFonts w:eastAsiaTheme="majorEastAsia"/>
            <w:color w:val="auto"/>
          </w:rPr>
          <w:t>https://www.handicap.dk/politik/vidensbank/?id=2521</w:t>
        </w:r>
      </w:hyperlink>
    </w:p>
  </w:footnote>
  <w:footnote w:id="13">
    <w:p w:rsidR="00452854" w:rsidRDefault="00452854">
      <w:pPr>
        <w:pStyle w:val="Fodnotetekst"/>
      </w:pPr>
      <w:r>
        <w:rPr>
          <w:rStyle w:val="Fodnotehenvisning"/>
        </w:rPr>
        <w:footnoteRef/>
      </w:r>
      <w:r>
        <w:t xml:space="preserve"> </w:t>
      </w:r>
      <w:r w:rsidRPr="00452854">
        <w:t>https://www.fm.dk/publikationer/2018/sammen-med-borgeren</w:t>
      </w:r>
    </w:p>
  </w:footnote>
  <w:footnote w:id="14">
    <w:p w:rsidR="00452854" w:rsidRDefault="00452854">
      <w:pPr>
        <w:pStyle w:val="Fodnotetekst"/>
      </w:pPr>
      <w:r>
        <w:rPr>
          <w:rStyle w:val="Fodnotehenvisning"/>
        </w:rPr>
        <w:footnoteRef/>
      </w:r>
      <w:r>
        <w:t xml:space="preserve"> </w:t>
      </w:r>
      <w:r w:rsidRPr="00452854">
        <w:t>https://www.handicap.dk/nyheder/nyhedsarkiv/dh-gode-idéer-i-sammenhaengsreformen/</w:t>
      </w:r>
    </w:p>
  </w:footnote>
  <w:footnote w:id="15">
    <w:p w:rsidR="00790729" w:rsidRDefault="00790729">
      <w:pPr>
        <w:pStyle w:val="Fodnotetekst"/>
      </w:pPr>
      <w:r>
        <w:rPr>
          <w:rStyle w:val="Fodnotehenvisning"/>
        </w:rPr>
        <w:footnoteRef/>
      </w:r>
      <w:r>
        <w:t xml:space="preserve"> </w:t>
      </w:r>
      <w:hyperlink r:id="rId12" w:history="1">
        <w:r>
          <w:rPr>
            <w:rStyle w:val="Hyperlink"/>
            <w:rFonts w:eastAsiaTheme="majorEastAsia"/>
          </w:rPr>
          <w:t>https://www.handicap.dk/politik/vidensbank/?id=2528</w:t>
        </w:r>
      </w:hyperlink>
    </w:p>
  </w:footnote>
  <w:footnote w:id="16">
    <w:p w:rsidR="00F47AB3" w:rsidRDefault="00F47AB3">
      <w:pPr>
        <w:pStyle w:val="Fodnotetekst"/>
      </w:pPr>
      <w:r>
        <w:rPr>
          <w:rStyle w:val="Fodnotehenvisning"/>
        </w:rPr>
        <w:footnoteRef/>
      </w:r>
      <w:r>
        <w:t xml:space="preserve"> </w:t>
      </w:r>
      <w:hyperlink r:id="rId13" w:history="1">
        <w:r w:rsidRPr="00452854">
          <w:rPr>
            <w:rStyle w:val="Hyperlink"/>
            <w:rFonts w:eastAsiaTheme="majorEastAsia"/>
            <w:sz w:val="26"/>
            <w:szCs w:val="26"/>
          </w:rPr>
          <w:t>https://www.handicap.dk/files/2513/D.docx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Default="00B20604">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12" w:rsidRDefault="00B20604">
    <w:pPr>
      <w:pStyle w:val="Sidehoved"/>
    </w:pPr>
    <w:r>
      <w:rPr>
        <w:noProof/>
        <w:sz w:val="24"/>
        <w:szCs w:val="24"/>
      </w:rPr>
      <w:drawing>
        <wp:anchor distT="0" distB="0" distL="114300" distR="114300" simplePos="0" relativeHeight="251658240" behindDoc="0" locked="0" layoutInCell="1" allowOverlap="1" wp14:anchorId="26CDD58D" wp14:editId="26CDD58E">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360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9C1"/>
    <w:multiLevelType w:val="hybridMultilevel"/>
    <w:tmpl w:val="3F84FB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75440DA5"/>
    <w:multiLevelType w:val="hybridMultilevel"/>
    <w:tmpl w:val="4192E4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1219B7"/>
    <w:rsid w:val="001851A3"/>
    <w:rsid w:val="001A5354"/>
    <w:rsid w:val="00224498"/>
    <w:rsid w:val="002B46EB"/>
    <w:rsid w:val="002E6939"/>
    <w:rsid w:val="003B2186"/>
    <w:rsid w:val="0044174D"/>
    <w:rsid w:val="00452854"/>
    <w:rsid w:val="00464A5B"/>
    <w:rsid w:val="004F44E6"/>
    <w:rsid w:val="00580BC9"/>
    <w:rsid w:val="005D538E"/>
    <w:rsid w:val="005F7698"/>
    <w:rsid w:val="006111C8"/>
    <w:rsid w:val="006D0AFF"/>
    <w:rsid w:val="006E06F1"/>
    <w:rsid w:val="00790729"/>
    <w:rsid w:val="00837245"/>
    <w:rsid w:val="0086356F"/>
    <w:rsid w:val="008733D7"/>
    <w:rsid w:val="008F7286"/>
    <w:rsid w:val="0090614E"/>
    <w:rsid w:val="00910B09"/>
    <w:rsid w:val="0091390D"/>
    <w:rsid w:val="00914FFD"/>
    <w:rsid w:val="00963DC9"/>
    <w:rsid w:val="009C7975"/>
    <w:rsid w:val="009F1772"/>
    <w:rsid w:val="00A801DA"/>
    <w:rsid w:val="00B20604"/>
    <w:rsid w:val="00BC551E"/>
    <w:rsid w:val="00BC6FFA"/>
    <w:rsid w:val="00BE5050"/>
    <w:rsid w:val="00C1725A"/>
    <w:rsid w:val="00CE7183"/>
    <w:rsid w:val="00D6364E"/>
    <w:rsid w:val="00DC39F3"/>
    <w:rsid w:val="00E31D37"/>
    <w:rsid w:val="00E9750F"/>
    <w:rsid w:val="00F076A9"/>
    <w:rsid w:val="00F20012"/>
    <w:rsid w:val="00F47AB3"/>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A801DA"/>
    <w:rPr>
      <w:color w:val="0000FF" w:themeColor="hyperlink"/>
      <w:u w:val="single"/>
    </w:rPr>
  </w:style>
  <w:style w:type="paragraph" w:styleId="Fodnotetekst">
    <w:name w:val="footnote text"/>
    <w:basedOn w:val="Normal"/>
    <w:link w:val="FodnotetekstTegn"/>
    <w:uiPriority w:val="99"/>
    <w:semiHidden/>
    <w:unhideWhenUsed/>
    <w:rsid w:val="00A801DA"/>
    <w:pPr>
      <w:textAlignment w:val="auto"/>
    </w:pPr>
    <w:rPr>
      <w:sz w:val="20"/>
    </w:rPr>
  </w:style>
  <w:style w:type="character" w:customStyle="1" w:styleId="FodnotetekstTegn">
    <w:name w:val="Fodnotetekst Tegn"/>
    <w:basedOn w:val="Standardskrifttypeiafsnit"/>
    <w:link w:val="Fodnotetekst"/>
    <w:uiPriority w:val="99"/>
    <w:semiHidden/>
    <w:rsid w:val="00A801D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801DA"/>
    <w:rPr>
      <w:vertAlign w:val="superscript"/>
    </w:rPr>
  </w:style>
  <w:style w:type="paragraph" w:styleId="Listeafsnit">
    <w:name w:val="List Paragraph"/>
    <w:basedOn w:val="Normal"/>
    <w:uiPriority w:val="34"/>
    <w:qFormat/>
    <w:rsid w:val="00A801DA"/>
    <w:pPr>
      <w:overflowPunct/>
      <w:autoSpaceDE/>
      <w:autoSpaceDN/>
      <w:adjustRightInd/>
      <w:ind w:left="720"/>
      <w:jc w:val="left"/>
      <w:textAlignment w:val="auto"/>
    </w:pPr>
    <w:rPr>
      <w:rFonts w:ascii="Calibri" w:eastAsiaTheme="minorHAnsi" w:hAnsi="Calibri" w:cs="Calibri"/>
      <w:sz w:val="22"/>
      <w:szCs w:val="22"/>
      <w:lang w:eastAsia="en-US"/>
    </w:rPr>
  </w:style>
  <w:style w:type="character" w:styleId="BesgtHyperlink">
    <w:name w:val="FollowedHyperlink"/>
    <w:basedOn w:val="Standardskrifttypeiafsnit"/>
    <w:uiPriority w:val="99"/>
    <w:semiHidden/>
    <w:unhideWhenUsed/>
    <w:rsid w:val="001A5354"/>
    <w:rPr>
      <w:color w:val="800080" w:themeColor="followedHyperlink"/>
      <w:u w:val="single"/>
    </w:rPr>
  </w:style>
  <w:style w:type="paragraph" w:customStyle="1" w:styleId="Default">
    <w:name w:val="Default"/>
    <w:basedOn w:val="Normal"/>
    <w:rsid w:val="00452854"/>
    <w:pPr>
      <w:overflowPunct/>
      <w:adjustRightInd/>
      <w:jc w:val="left"/>
      <w:textAlignment w:val="auto"/>
    </w:pPr>
    <w:rPr>
      <w:rFonts w:ascii="Garamond" w:eastAsiaTheme="minorHAnsi" w:hAnsi="Garamon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A801DA"/>
    <w:rPr>
      <w:color w:val="0000FF" w:themeColor="hyperlink"/>
      <w:u w:val="single"/>
    </w:rPr>
  </w:style>
  <w:style w:type="paragraph" w:styleId="Fodnotetekst">
    <w:name w:val="footnote text"/>
    <w:basedOn w:val="Normal"/>
    <w:link w:val="FodnotetekstTegn"/>
    <w:uiPriority w:val="99"/>
    <w:semiHidden/>
    <w:unhideWhenUsed/>
    <w:rsid w:val="00A801DA"/>
    <w:pPr>
      <w:textAlignment w:val="auto"/>
    </w:pPr>
    <w:rPr>
      <w:sz w:val="20"/>
    </w:rPr>
  </w:style>
  <w:style w:type="character" w:customStyle="1" w:styleId="FodnotetekstTegn">
    <w:name w:val="Fodnotetekst Tegn"/>
    <w:basedOn w:val="Standardskrifttypeiafsnit"/>
    <w:link w:val="Fodnotetekst"/>
    <w:uiPriority w:val="99"/>
    <w:semiHidden/>
    <w:rsid w:val="00A801D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801DA"/>
    <w:rPr>
      <w:vertAlign w:val="superscript"/>
    </w:rPr>
  </w:style>
  <w:style w:type="paragraph" w:styleId="Listeafsnit">
    <w:name w:val="List Paragraph"/>
    <w:basedOn w:val="Normal"/>
    <w:uiPriority w:val="34"/>
    <w:qFormat/>
    <w:rsid w:val="00A801DA"/>
    <w:pPr>
      <w:overflowPunct/>
      <w:autoSpaceDE/>
      <w:autoSpaceDN/>
      <w:adjustRightInd/>
      <w:ind w:left="720"/>
      <w:jc w:val="left"/>
      <w:textAlignment w:val="auto"/>
    </w:pPr>
    <w:rPr>
      <w:rFonts w:ascii="Calibri" w:eastAsiaTheme="minorHAnsi" w:hAnsi="Calibri" w:cs="Calibri"/>
      <w:sz w:val="22"/>
      <w:szCs w:val="22"/>
      <w:lang w:eastAsia="en-US"/>
    </w:rPr>
  </w:style>
  <w:style w:type="character" w:styleId="BesgtHyperlink">
    <w:name w:val="FollowedHyperlink"/>
    <w:basedOn w:val="Standardskrifttypeiafsnit"/>
    <w:uiPriority w:val="99"/>
    <w:semiHidden/>
    <w:unhideWhenUsed/>
    <w:rsid w:val="001A5354"/>
    <w:rPr>
      <w:color w:val="800080" w:themeColor="followedHyperlink"/>
      <w:u w:val="single"/>
    </w:rPr>
  </w:style>
  <w:style w:type="paragraph" w:customStyle="1" w:styleId="Default">
    <w:name w:val="Default"/>
    <w:basedOn w:val="Normal"/>
    <w:rsid w:val="00452854"/>
    <w:pPr>
      <w:overflowPunct/>
      <w:adjustRightInd/>
      <w:jc w:val="left"/>
      <w:textAlignment w:val="auto"/>
    </w:pPr>
    <w:rPr>
      <w:rFonts w:ascii="Garamond" w:eastAsiaTheme="minorHAnsi" w:hAnsi="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430">
      <w:bodyDiv w:val="1"/>
      <w:marLeft w:val="0"/>
      <w:marRight w:val="0"/>
      <w:marTop w:val="0"/>
      <w:marBottom w:val="0"/>
      <w:divBdr>
        <w:top w:val="none" w:sz="0" w:space="0" w:color="auto"/>
        <w:left w:val="none" w:sz="0" w:space="0" w:color="auto"/>
        <w:bottom w:val="none" w:sz="0" w:space="0" w:color="auto"/>
        <w:right w:val="none" w:sz="0" w:space="0" w:color="auto"/>
      </w:divBdr>
    </w:div>
    <w:div w:id="402801773">
      <w:bodyDiv w:val="1"/>
      <w:marLeft w:val="0"/>
      <w:marRight w:val="0"/>
      <w:marTop w:val="0"/>
      <w:marBottom w:val="0"/>
      <w:divBdr>
        <w:top w:val="none" w:sz="0" w:space="0" w:color="auto"/>
        <w:left w:val="none" w:sz="0" w:space="0" w:color="auto"/>
        <w:bottom w:val="none" w:sz="0" w:space="0" w:color="auto"/>
        <w:right w:val="none" w:sz="0" w:space="0" w:color="auto"/>
      </w:divBdr>
    </w:div>
    <w:div w:id="458451569">
      <w:bodyDiv w:val="1"/>
      <w:marLeft w:val="0"/>
      <w:marRight w:val="0"/>
      <w:marTop w:val="0"/>
      <w:marBottom w:val="0"/>
      <w:divBdr>
        <w:top w:val="none" w:sz="0" w:space="0" w:color="auto"/>
        <w:left w:val="none" w:sz="0" w:space="0" w:color="auto"/>
        <w:bottom w:val="none" w:sz="0" w:space="0" w:color="auto"/>
        <w:right w:val="none" w:sz="0" w:space="0" w:color="auto"/>
      </w:divBdr>
    </w:div>
    <w:div w:id="480997473">
      <w:bodyDiv w:val="1"/>
      <w:marLeft w:val="0"/>
      <w:marRight w:val="0"/>
      <w:marTop w:val="0"/>
      <w:marBottom w:val="0"/>
      <w:divBdr>
        <w:top w:val="none" w:sz="0" w:space="0" w:color="auto"/>
        <w:left w:val="none" w:sz="0" w:space="0" w:color="auto"/>
        <w:bottom w:val="none" w:sz="0" w:space="0" w:color="auto"/>
        <w:right w:val="none" w:sz="0" w:space="0" w:color="auto"/>
      </w:divBdr>
    </w:div>
    <w:div w:id="608509366">
      <w:bodyDiv w:val="1"/>
      <w:marLeft w:val="0"/>
      <w:marRight w:val="0"/>
      <w:marTop w:val="0"/>
      <w:marBottom w:val="0"/>
      <w:divBdr>
        <w:top w:val="none" w:sz="0" w:space="0" w:color="auto"/>
        <w:left w:val="none" w:sz="0" w:space="0" w:color="auto"/>
        <w:bottom w:val="none" w:sz="0" w:space="0" w:color="auto"/>
        <w:right w:val="none" w:sz="0" w:space="0" w:color="auto"/>
      </w:divBdr>
      <w:divsChild>
        <w:div w:id="116149544">
          <w:marLeft w:val="0"/>
          <w:marRight w:val="0"/>
          <w:marTop w:val="0"/>
          <w:marBottom w:val="100"/>
          <w:divBdr>
            <w:top w:val="none" w:sz="0" w:space="0" w:color="auto"/>
            <w:left w:val="none" w:sz="0" w:space="0" w:color="auto"/>
            <w:bottom w:val="none" w:sz="0" w:space="0" w:color="auto"/>
            <w:right w:val="none" w:sz="0" w:space="0" w:color="auto"/>
          </w:divBdr>
          <w:divsChild>
            <w:div w:id="808977258">
              <w:marLeft w:val="0"/>
              <w:marRight w:val="0"/>
              <w:marTop w:val="0"/>
              <w:marBottom w:val="0"/>
              <w:divBdr>
                <w:top w:val="none" w:sz="0" w:space="0" w:color="auto"/>
                <w:left w:val="none" w:sz="0" w:space="0" w:color="auto"/>
                <w:bottom w:val="none" w:sz="0" w:space="0" w:color="auto"/>
                <w:right w:val="none" w:sz="0" w:space="0" w:color="auto"/>
              </w:divBdr>
              <w:divsChild>
                <w:div w:id="1358265294">
                  <w:marLeft w:val="0"/>
                  <w:marRight w:val="0"/>
                  <w:marTop w:val="0"/>
                  <w:marBottom w:val="0"/>
                  <w:divBdr>
                    <w:top w:val="none" w:sz="0" w:space="0" w:color="auto"/>
                    <w:left w:val="none" w:sz="0" w:space="0" w:color="auto"/>
                    <w:bottom w:val="none" w:sz="0" w:space="0" w:color="auto"/>
                    <w:right w:val="none" w:sz="0" w:space="0" w:color="auto"/>
                  </w:divBdr>
                  <w:divsChild>
                    <w:div w:id="221019340">
                      <w:marLeft w:val="0"/>
                      <w:marRight w:val="0"/>
                      <w:marTop w:val="0"/>
                      <w:marBottom w:val="0"/>
                      <w:divBdr>
                        <w:top w:val="none" w:sz="0" w:space="0" w:color="auto"/>
                        <w:left w:val="none" w:sz="0" w:space="0" w:color="auto"/>
                        <w:bottom w:val="none" w:sz="0" w:space="0" w:color="auto"/>
                        <w:right w:val="none" w:sz="0" w:space="0" w:color="auto"/>
                      </w:divBdr>
                      <w:divsChild>
                        <w:div w:id="354693344">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939409387">
      <w:bodyDiv w:val="1"/>
      <w:marLeft w:val="0"/>
      <w:marRight w:val="0"/>
      <w:marTop w:val="0"/>
      <w:marBottom w:val="0"/>
      <w:divBdr>
        <w:top w:val="none" w:sz="0" w:space="0" w:color="auto"/>
        <w:left w:val="none" w:sz="0" w:space="0" w:color="auto"/>
        <w:bottom w:val="none" w:sz="0" w:space="0" w:color="auto"/>
        <w:right w:val="none" w:sz="0" w:space="0" w:color="auto"/>
      </w:divBdr>
    </w:div>
    <w:div w:id="1339965245">
      <w:bodyDiv w:val="1"/>
      <w:marLeft w:val="0"/>
      <w:marRight w:val="0"/>
      <w:marTop w:val="0"/>
      <w:marBottom w:val="0"/>
      <w:divBdr>
        <w:top w:val="none" w:sz="0" w:space="0" w:color="auto"/>
        <w:left w:val="none" w:sz="0" w:space="0" w:color="auto"/>
        <w:bottom w:val="none" w:sz="0" w:space="0" w:color="auto"/>
        <w:right w:val="none" w:sz="0" w:space="0" w:color="auto"/>
      </w:divBdr>
    </w:div>
    <w:div w:id="1398431861">
      <w:bodyDiv w:val="1"/>
      <w:marLeft w:val="0"/>
      <w:marRight w:val="0"/>
      <w:marTop w:val="0"/>
      <w:marBottom w:val="0"/>
      <w:divBdr>
        <w:top w:val="none" w:sz="0" w:space="0" w:color="auto"/>
        <w:left w:val="none" w:sz="0" w:space="0" w:color="auto"/>
        <w:bottom w:val="none" w:sz="0" w:space="0" w:color="auto"/>
        <w:right w:val="none" w:sz="0" w:space="0" w:color="auto"/>
      </w:divBdr>
    </w:div>
    <w:div w:id="1493133020">
      <w:bodyDiv w:val="1"/>
      <w:marLeft w:val="0"/>
      <w:marRight w:val="0"/>
      <w:marTop w:val="0"/>
      <w:marBottom w:val="0"/>
      <w:divBdr>
        <w:top w:val="none" w:sz="0" w:space="0" w:color="auto"/>
        <w:left w:val="none" w:sz="0" w:space="0" w:color="auto"/>
        <w:bottom w:val="none" w:sz="0" w:space="0" w:color="auto"/>
        <w:right w:val="none" w:sz="0" w:space="0" w:color="auto"/>
      </w:divBdr>
    </w:div>
    <w:div w:id="15287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andicap.dk/nyheder/nyhedsarkiv/giv-stemmeret-til-martin-med-handicap/" TargetMode="External"/><Relationship Id="rId13" Type="http://schemas.openxmlformats.org/officeDocument/2006/relationships/hyperlink" Target="https://www.handicap.dk/files/2513/D.docx" TargetMode="External"/><Relationship Id="rId3" Type="http://schemas.openxmlformats.org/officeDocument/2006/relationships/hyperlink" Target="https://www.handicap.dk/politik/vidensbank/?id=2522" TargetMode="External"/><Relationship Id="rId7" Type="http://schemas.openxmlformats.org/officeDocument/2006/relationships/hyperlink" Target="https://www.handicap.dk/politik/vidensbank/?id=2523" TargetMode="External"/><Relationship Id="rId12" Type="http://schemas.openxmlformats.org/officeDocument/2006/relationships/hyperlink" Target="https://www.handicap.dk/politik/vidensbank/?id=2528" TargetMode="External"/><Relationship Id="rId2" Type="http://schemas.openxmlformats.org/officeDocument/2006/relationships/hyperlink" Target="https://www.altinget.dk/arbejdsmarked/artikel/danske-handicaporganisationer-mennesker-med-handicap-kommer-i-klemme-med-nye-sanktioner" TargetMode="External"/><Relationship Id="rId1" Type="http://schemas.openxmlformats.org/officeDocument/2006/relationships/hyperlink" Target="https://www.handicap.dk/nyheder/nyhedsarkiv/positivt-handicapudspil-fra-regeringen/" TargetMode="External"/><Relationship Id="rId6" Type="http://schemas.openxmlformats.org/officeDocument/2006/relationships/hyperlink" Target="https://www.handicap.dk/files/2514/Overblik%20over%20forslag%20til%20finansloven%20for%202019%20.docx" TargetMode="External"/><Relationship Id="rId11" Type="http://schemas.openxmlformats.org/officeDocument/2006/relationships/hyperlink" Target="https://www.handicap.dk/politik/vidensbank/?id=2521" TargetMode="External"/><Relationship Id="rId5" Type="http://schemas.openxmlformats.org/officeDocument/2006/relationships/hyperlink" Target="https://www.altinget.dk/social/artikel/handicapformand-alle-tilbud-skal-have-et-aarligt-socialtilsyn" TargetMode="External"/><Relationship Id="rId10" Type="http://schemas.openxmlformats.org/officeDocument/2006/relationships/hyperlink" Target="https://www.handicap.dk/politik/vidensbank/?id=2526" TargetMode="External"/><Relationship Id="rId4" Type="http://schemas.openxmlformats.org/officeDocument/2006/relationships/hyperlink" Target="https://www.handicap.dk/nyheder/nyhedsarkiv/overblik-over-nye-magtanvendelsesregler/" TargetMode="External"/><Relationship Id="rId9" Type="http://schemas.openxmlformats.org/officeDocument/2006/relationships/hyperlink" Target="https://www.handicap.dk/politik/vidensbank/?id=25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4672132D6C54FAEAE4EF96A01ADC8" ma:contentTypeVersion="12" ma:contentTypeDescription="Create a new document." ma:contentTypeScope="" ma:versionID="0933cf832820dc8b3c7f285bcb261cf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CACD-7BFE-4080-9E22-66835D02B503}">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B0258D4C-0388-46D3-9329-8E2B8C0A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36435-92D5-496D-BAD4-B1E034FE6D8A}">
  <ds:schemaRefs>
    <ds:schemaRef ds:uri="http://schemas.microsoft.com/sharepoint/v3/contenttype/forms"/>
  </ds:schemaRefs>
</ds:datastoreItem>
</file>

<file path=customXml/itemProps4.xml><?xml version="1.0" encoding="utf-8"?>
<ds:datastoreItem xmlns:ds="http://schemas.openxmlformats.org/officeDocument/2006/customXml" ds:itemID="{6C654FEE-3C25-4D33-BF26-56A14E91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19057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Kristine Grove Sørensen</cp:lastModifiedBy>
  <cp:revision>2</cp:revision>
  <dcterms:created xsi:type="dcterms:W3CDTF">2018-10-11T12:05:00Z</dcterms:created>
  <dcterms:modified xsi:type="dcterms:W3CDTF">2018-10-11T12:05:00Z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0x010100CB54672132D6C54FAEAE4EF96A01ADC8</vt:lpwstr>
  </property>
  <property fmtid="{D5CDD505-2E9C-101B-9397-08002B2CF9AE}" pid="3" name="TeamShareLastOpen">
    <vt:lpwstr>10-10-2018 08:52:37</vt:lpwstr>
  </property>
</Properties>
</file>