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A64C4" w14:textId="77777777" w:rsidR="00837245" w:rsidRPr="006E06F1" w:rsidRDefault="001159DE" w:rsidP="00837245">
      <w:pPr>
        <w:jc w:val="left"/>
        <w:rPr>
          <w:sz w:val="20"/>
        </w:rPr>
      </w:pPr>
      <w:r>
        <w:rPr>
          <w:sz w:val="20"/>
        </w:rPr>
        <w:t xml:space="preserve">Dokument oprettet </w:t>
      </w:r>
      <w:bookmarkStart w:id="0" w:name="dato"/>
      <w:r w:rsidRPr="006E06F1">
        <w:rPr>
          <w:sz w:val="20"/>
        </w:rPr>
        <w:t>05. februar 2019</w:t>
      </w:r>
      <w:bookmarkEnd w:id="0"/>
    </w:p>
    <w:p w14:paraId="7EDA64C5" w14:textId="77777777" w:rsidR="00837245" w:rsidRPr="00DC39F3" w:rsidRDefault="001159DE" w:rsidP="00837245">
      <w:pPr>
        <w:jc w:val="left"/>
        <w:rPr>
          <w:sz w:val="20"/>
        </w:rPr>
      </w:pPr>
      <w:r w:rsidRPr="00DC39F3">
        <w:rPr>
          <w:sz w:val="20"/>
        </w:rPr>
        <w:t xml:space="preserve">Sag </w:t>
      </w:r>
      <w:bookmarkStart w:id="1" w:name="sagsnummer"/>
      <w:r w:rsidRPr="00DC39F3">
        <w:rPr>
          <w:sz w:val="20"/>
        </w:rPr>
        <w:t>17-2014-00561</w:t>
      </w:r>
      <w:bookmarkEnd w:id="1"/>
      <w:r w:rsidRPr="00DC39F3">
        <w:rPr>
          <w:sz w:val="20"/>
        </w:rPr>
        <w:t xml:space="preserve"> – Dok. </w:t>
      </w:r>
      <w:bookmarkStart w:id="2" w:name="dokumentnr"/>
      <w:r w:rsidRPr="00DC39F3">
        <w:rPr>
          <w:sz w:val="20"/>
        </w:rPr>
        <w:t>417678</w:t>
      </w:r>
      <w:bookmarkEnd w:id="2"/>
      <w:r w:rsidRPr="00DC39F3">
        <w:rPr>
          <w:sz w:val="20"/>
        </w:rPr>
        <w:t>/</w:t>
      </w:r>
      <w:bookmarkStart w:id="3" w:name="brugerinitialer"/>
      <w:r w:rsidRPr="00DC39F3">
        <w:rPr>
          <w:sz w:val="20"/>
        </w:rPr>
        <w:t>tk_dh</w:t>
      </w:r>
      <w:bookmarkEnd w:id="3"/>
    </w:p>
    <w:p w14:paraId="7EDA64C6" w14:textId="77777777" w:rsidR="00837245" w:rsidRPr="00DC39F3" w:rsidRDefault="00837245" w:rsidP="00837245"/>
    <w:p w14:paraId="7EDA64C7" w14:textId="77777777" w:rsidR="00837245" w:rsidRPr="00DC39F3" w:rsidRDefault="00837245" w:rsidP="00837245"/>
    <w:p w14:paraId="7EDA64C8" w14:textId="6949E706" w:rsidR="00837245" w:rsidRPr="006E06F1" w:rsidRDefault="001159DE" w:rsidP="002E6939">
      <w:pPr>
        <w:pBdr>
          <w:bottom w:val="single" w:sz="4" w:space="1" w:color="auto"/>
        </w:pBdr>
        <w:jc w:val="left"/>
        <w:rPr>
          <w:rFonts w:ascii="Arial" w:hAnsi="Arial" w:cs="Arial"/>
          <w:b/>
          <w:sz w:val="36"/>
          <w:szCs w:val="36"/>
        </w:rPr>
      </w:pPr>
      <w:bookmarkStart w:id="4" w:name="dokumenttitel"/>
      <w:r w:rsidRPr="006E06F1">
        <w:rPr>
          <w:rFonts w:ascii="Arial" w:hAnsi="Arial" w:cs="Arial"/>
          <w:b/>
          <w:sz w:val="36"/>
          <w:szCs w:val="36"/>
        </w:rPr>
        <w:t xml:space="preserve">Hvad koster </w:t>
      </w:r>
      <w:r w:rsidR="00591162">
        <w:rPr>
          <w:rFonts w:ascii="Arial" w:hAnsi="Arial" w:cs="Arial"/>
          <w:b/>
          <w:sz w:val="36"/>
          <w:szCs w:val="36"/>
        </w:rPr>
        <w:t xml:space="preserve">det at indføre en ordning med </w:t>
      </w:r>
      <w:r w:rsidRPr="006E06F1">
        <w:rPr>
          <w:rFonts w:ascii="Arial" w:hAnsi="Arial" w:cs="Arial"/>
          <w:b/>
          <w:sz w:val="36"/>
          <w:szCs w:val="36"/>
        </w:rPr>
        <w:t>sundhedstjek?</w:t>
      </w:r>
      <w:bookmarkEnd w:id="4"/>
    </w:p>
    <w:p w14:paraId="1BFC0716" w14:textId="77777777" w:rsidR="00785AD6" w:rsidRDefault="00785AD6" w:rsidP="00785AD6"/>
    <w:p w14:paraId="436C021B" w14:textId="23C862AC" w:rsidR="00785AD6" w:rsidRPr="00785AD6" w:rsidRDefault="00785AD6" w:rsidP="00785AD6">
      <w:pPr>
        <w:rPr>
          <w:i/>
        </w:rPr>
      </w:pPr>
      <w:r w:rsidRPr="00785AD6">
        <w:rPr>
          <w:i/>
          <w:u w:val="single"/>
        </w:rPr>
        <w:t>Resumé</w:t>
      </w:r>
      <w:r w:rsidRPr="00785AD6">
        <w:rPr>
          <w:i/>
        </w:rPr>
        <w:t xml:space="preserve">: Det skønnes at koste </w:t>
      </w:r>
      <w:r w:rsidR="00783F21">
        <w:rPr>
          <w:i/>
        </w:rPr>
        <w:t>ca. 100</w:t>
      </w:r>
      <w:r w:rsidR="00AD2595">
        <w:rPr>
          <w:i/>
        </w:rPr>
        <w:t xml:space="preserve"> </w:t>
      </w:r>
      <w:r w:rsidRPr="00785AD6">
        <w:rPr>
          <w:i/>
        </w:rPr>
        <w:t>mio.kr. at indføre et tilbud om et årligt sundhedstjek til voksne borgere med betydelige kognitive eller psykiske funktionsnedsættelser.</w:t>
      </w:r>
      <w:r w:rsidR="00737EA3">
        <w:rPr>
          <w:i/>
        </w:rPr>
        <w:t xml:space="preserve"> Udgifterne fordeler sig på sundhedsområdet (sundhedstjek i almen praksis) og socialområdet (støttepersonale). </w:t>
      </w:r>
      <w:r w:rsidRPr="00785AD6">
        <w:rPr>
          <w:i/>
        </w:rPr>
        <w:t xml:space="preserve"> </w:t>
      </w:r>
    </w:p>
    <w:p w14:paraId="7EDA64CB" w14:textId="0F231937" w:rsidR="0090614E" w:rsidRPr="00591162" w:rsidRDefault="00591162" w:rsidP="00591162">
      <w:pPr>
        <w:pStyle w:val="Overskrift2"/>
      </w:pPr>
      <w:r w:rsidRPr="00591162">
        <w:t>1. Indledning</w:t>
      </w:r>
    </w:p>
    <w:p w14:paraId="59F0951D" w14:textId="4C0FF7F3" w:rsidR="00591162" w:rsidRDefault="00591162">
      <w:r>
        <w:t xml:space="preserve">Formålet med dette notat er at skønne over, hvad et </w:t>
      </w:r>
      <w:r w:rsidR="00AB3C3D">
        <w:t xml:space="preserve">landsdækkende </w:t>
      </w:r>
      <w:r>
        <w:t xml:space="preserve">tilbud om sundhedstjek for borgere med kognitive og psykiske </w:t>
      </w:r>
      <w:r w:rsidR="00AD2595">
        <w:t>funktionsnedsættelser</w:t>
      </w:r>
      <w:r>
        <w:t xml:space="preserve"> hos praktiserende læge vil koste. </w:t>
      </w:r>
    </w:p>
    <w:p w14:paraId="68CE2BF4" w14:textId="77777777" w:rsidR="00591162" w:rsidRDefault="00591162">
      <w:bookmarkStart w:id="5" w:name="_GoBack"/>
      <w:bookmarkEnd w:id="5"/>
    </w:p>
    <w:p w14:paraId="085DEDA7" w14:textId="1F7372A3" w:rsidR="00591162" w:rsidRDefault="00591162">
      <w:r>
        <w:t xml:space="preserve">Der tages udgangspunkt i den model, som DH har udviklet, og som er afprøvet i 4 forsøg med deltagelse af Roskilde, København, Svendborg samt Allerød og </w:t>
      </w:r>
      <w:proofErr w:type="spellStart"/>
      <w:r>
        <w:t>Egedal</w:t>
      </w:r>
      <w:proofErr w:type="spellEnd"/>
      <w:r>
        <w:t xml:space="preserve"> kommuner. Modellen </w:t>
      </w:r>
      <w:r w:rsidR="00893D40">
        <w:t>indeholder 3 faser</w:t>
      </w:r>
      <w:r>
        <w:t xml:space="preserve">: </w:t>
      </w:r>
    </w:p>
    <w:p w14:paraId="1672C91B" w14:textId="77777777" w:rsidR="00591162" w:rsidRDefault="00591162"/>
    <w:p w14:paraId="449E3893" w14:textId="566EE418" w:rsidR="00591162" w:rsidRDefault="00893D40">
      <w:r w:rsidRPr="00893D40">
        <w:rPr>
          <w:u w:val="single"/>
        </w:rPr>
        <w:t>Forberedelse</w:t>
      </w:r>
      <w:r>
        <w:t>: Bestilling af tid hos lægen. Udfyldning af forberedelsesskema (typisk i et samarbejde mellem personale og borger).  Blodprøvetagning (hos ambulatorium</w:t>
      </w:r>
      <w:r w:rsidR="0087545E">
        <w:t xml:space="preserve"> </w:t>
      </w:r>
      <w:r>
        <w:t xml:space="preserve">eller praktiserende læge). </w:t>
      </w:r>
    </w:p>
    <w:p w14:paraId="41603746" w14:textId="77777777" w:rsidR="00893D40" w:rsidRDefault="00893D40"/>
    <w:p w14:paraId="23355FD5" w14:textId="1B6EA1A4" w:rsidR="00893D40" w:rsidRDefault="00893D40">
      <w:r w:rsidRPr="00893D40">
        <w:rPr>
          <w:u w:val="single"/>
        </w:rPr>
        <w:t>Sundhedstjek hos lægen</w:t>
      </w:r>
      <w:r>
        <w:t xml:space="preserve">: Samtale på baggrund af forberedelsesskema og blodprøveresultater. Gennemgang af evt. medicinliste. Diverse undersøgelser. Typisk vil en ansat på bosted eller en hjemmevejleder ledsage borgeren til lægen og være med </w:t>
      </w:r>
      <w:r w:rsidR="00E9043C">
        <w:t xml:space="preserve">ved samtale og undersøgelse. </w:t>
      </w:r>
      <w:r>
        <w:t xml:space="preserve"> </w:t>
      </w:r>
    </w:p>
    <w:p w14:paraId="2E64FCF1" w14:textId="77777777" w:rsidR="00893D40" w:rsidRDefault="00893D40"/>
    <w:p w14:paraId="3EA9333A" w14:textId="264D70CD" w:rsidR="00893D40" w:rsidRDefault="00893D40">
      <w:r w:rsidRPr="00893D40">
        <w:rPr>
          <w:u w:val="single"/>
        </w:rPr>
        <w:t>Opfølgning</w:t>
      </w:r>
      <w:r>
        <w:t xml:space="preserve">: Henvisning til andre undersøgelser, iværksættelse af </w:t>
      </w:r>
      <w:r w:rsidR="0087545E">
        <w:t xml:space="preserve">ordineret </w:t>
      </w:r>
      <w:r>
        <w:t>behandling</w:t>
      </w:r>
      <w:r w:rsidR="0087545E">
        <w:t xml:space="preserve">, opfølgning hjemme hos borgeren (medicinhåndtering, kostomlægning o.l.) mv. </w:t>
      </w:r>
      <w:r>
        <w:t xml:space="preserve"> </w:t>
      </w:r>
    </w:p>
    <w:p w14:paraId="3011A5AB" w14:textId="77777777" w:rsidR="00893D40" w:rsidRDefault="00893D40"/>
    <w:p w14:paraId="3A0E0B6A" w14:textId="47D8C670" w:rsidR="00AB3C3D" w:rsidRDefault="00AB3C3D" w:rsidP="00AB3C3D">
      <w:pPr>
        <w:pStyle w:val="Overskrift2"/>
      </w:pPr>
      <w:r>
        <w:t>2. Forudsætninger</w:t>
      </w:r>
    </w:p>
    <w:p w14:paraId="404293F8" w14:textId="7A118979" w:rsidR="00AB3C3D" w:rsidRDefault="00AB3C3D" w:rsidP="0084529C">
      <w:pPr>
        <w:pStyle w:val="Overskrift2"/>
      </w:pPr>
      <w:r>
        <w:t>2.1. Målgruppe</w:t>
      </w:r>
    </w:p>
    <w:p w14:paraId="577B6583" w14:textId="22F9C614" w:rsidR="00F33623" w:rsidRDefault="00F33623" w:rsidP="00AB3C3D">
      <w:pPr>
        <w:rPr>
          <w:lang w:eastAsia="en-US"/>
        </w:rPr>
      </w:pPr>
      <w:r>
        <w:rPr>
          <w:lang w:eastAsia="en-US"/>
        </w:rPr>
        <w:t xml:space="preserve">Målgruppen er </w:t>
      </w:r>
      <w:r w:rsidR="00334485">
        <w:rPr>
          <w:lang w:eastAsia="en-US"/>
        </w:rPr>
        <w:t xml:space="preserve">voksne </w:t>
      </w:r>
      <w:r>
        <w:rPr>
          <w:lang w:eastAsia="en-US"/>
        </w:rPr>
        <w:t xml:space="preserve">borgere med </w:t>
      </w:r>
      <w:r w:rsidR="003E1C63">
        <w:rPr>
          <w:lang w:eastAsia="en-US"/>
        </w:rPr>
        <w:t xml:space="preserve">betydelige </w:t>
      </w:r>
      <w:r>
        <w:rPr>
          <w:lang w:eastAsia="en-US"/>
        </w:rPr>
        <w:t xml:space="preserve">kognitive og psykiske funktionsnedsættelser, der ikke </w:t>
      </w:r>
      <w:r w:rsidR="00900480">
        <w:rPr>
          <w:lang w:eastAsia="en-US"/>
        </w:rPr>
        <w:t xml:space="preserve">kan </w:t>
      </w:r>
      <w:r>
        <w:rPr>
          <w:lang w:eastAsia="en-US"/>
        </w:rPr>
        <w:t xml:space="preserve">drage omsorg for sig selv. Det kan være borgere med udviklingshæmning, psykisk sygdom, </w:t>
      </w:r>
      <w:r w:rsidR="003E1C63">
        <w:rPr>
          <w:lang w:eastAsia="en-US"/>
        </w:rPr>
        <w:t xml:space="preserve">epilepsi, </w:t>
      </w:r>
      <w:r>
        <w:rPr>
          <w:lang w:eastAsia="en-US"/>
        </w:rPr>
        <w:t>autisme,</w:t>
      </w:r>
      <w:r w:rsidR="00AD2595">
        <w:rPr>
          <w:lang w:eastAsia="en-US"/>
        </w:rPr>
        <w:t xml:space="preserve"> ADHD, </w:t>
      </w:r>
      <w:r>
        <w:rPr>
          <w:lang w:eastAsia="en-US"/>
        </w:rPr>
        <w:t xml:space="preserve">hjerneskade o.l. </w:t>
      </w:r>
    </w:p>
    <w:p w14:paraId="715B3A04" w14:textId="77777777" w:rsidR="00F33623" w:rsidRDefault="00F33623" w:rsidP="00AB3C3D">
      <w:pPr>
        <w:rPr>
          <w:lang w:eastAsia="en-US"/>
        </w:rPr>
      </w:pPr>
    </w:p>
    <w:p w14:paraId="53CDAB5B" w14:textId="03FB1855" w:rsidR="00F33623" w:rsidRDefault="009B352A" w:rsidP="00AB3C3D">
      <w:pPr>
        <w:rPr>
          <w:lang w:eastAsia="en-US"/>
        </w:rPr>
      </w:pPr>
      <w:r>
        <w:rPr>
          <w:lang w:eastAsia="en-US"/>
        </w:rPr>
        <w:t xml:space="preserve">Fordelt på bopæl er der to hovedmålgrupper: </w:t>
      </w:r>
    </w:p>
    <w:p w14:paraId="1CE478CD" w14:textId="77777777" w:rsidR="009B352A" w:rsidRDefault="009B352A" w:rsidP="00AB3C3D">
      <w:pPr>
        <w:rPr>
          <w:lang w:eastAsia="en-US"/>
        </w:rPr>
      </w:pPr>
    </w:p>
    <w:p w14:paraId="52E12FC6" w14:textId="069EF46E" w:rsidR="009B352A" w:rsidRDefault="009B352A" w:rsidP="009B352A">
      <w:pPr>
        <w:pStyle w:val="Listeafsnit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Beboere på bosteder under kommunen eller regionen (§ 107 eller § 108-tilbud efter serviceloven)</w:t>
      </w:r>
    </w:p>
    <w:p w14:paraId="40CC2A59" w14:textId="00831907" w:rsidR="009B352A" w:rsidRDefault="009B352A" w:rsidP="009B352A">
      <w:pPr>
        <w:pStyle w:val="Listeafsnit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 xml:space="preserve">Borgere </w:t>
      </w:r>
      <w:r w:rsidR="00AC0C49">
        <w:rPr>
          <w:lang w:eastAsia="en-US"/>
        </w:rPr>
        <w:t xml:space="preserve">der modtager </w:t>
      </w:r>
      <w:r>
        <w:rPr>
          <w:lang w:eastAsia="en-US"/>
        </w:rPr>
        <w:t xml:space="preserve">§ 85-støtte (specialpædagogisk støtte </w:t>
      </w:r>
      <w:r w:rsidR="00317898">
        <w:rPr>
          <w:lang w:eastAsia="en-US"/>
        </w:rPr>
        <w:t>efter serviceloven</w:t>
      </w:r>
      <w:r>
        <w:rPr>
          <w:lang w:eastAsia="en-US"/>
        </w:rPr>
        <w:t>)</w:t>
      </w:r>
      <w:r w:rsidR="00317898">
        <w:rPr>
          <w:lang w:eastAsia="en-US"/>
        </w:rPr>
        <w:t>, dvs. bor i</w:t>
      </w:r>
      <w:r w:rsidR="00AC0C49">
        <w:rPr>
          <w:lang w:eastAsia="en-US"/>
        </w:rPr>
        <w:t xml:space="preserve"> botilbud efter almenboligloven</w:t>
      </w:r>
      <w:r w:rsidR="00730405">
        <w:rPr>
          <w:lang w:eastAsia="en-US"/>
        </w:rPr>
        <w:t>s 105, stk.</w:t>
      </w:r>
      <w:r w:rsidR="00642AE3">
        <w:rPr>
          <w:lang w:eastAsia="en-US"/>
        </w:rPr>
        <w:t xml:space="preserve"> </w:t>
      </w:r>
      <w:r w:rsidR="00730405">
        <w:rPr>
          <w:lang w:eastAsia="en-US"/>
        </w:rPr>
        <w:t xml:space="preserve">2, </w:t>
      </w:r>
      <w:r w:rsidR="00AC0C49">
        <w:rPr>
          <w:lang w:eastAsia="en-US"/>
        </w:rPr>
        <w:t xml:space="preserve">eller </w:t>
      </w:r>
      <w:r w:rsidR="00317898">
        <w:rPr>
          <w:lang w:eastAsia="en-US"/>
        </w:rPr>
        <w:t>i egen</w:t>
      </w:r>
      <w:r w:rsidR="00730405">
        <w:rPr>
          <w:lang w:eastAsia="en-US"/>
        </w:rPr>
        <w:t xml:space="preserve"> </w:t>
      </w:r>
      <w:r w:rsidR="00AC0C49">
        <w:rPr>
          <w:lang w:eastAsia="en-US"/>
        </w:rPr>
        <w:t>bolig</w:t>
      </w:r>
      <w:r w:rsidR="00317898">
        <w:rPr>
          <w:lang w:eastAsia="en-US"/>
        </w:rPr>
        <w:t xml:space="preserve"> med </w:t>
      </w:r>
      <w:proofErr w:type="spellStart"/>
      <w:r w:rsidR="00317898">
        <w:rPr>
          <w:lang w:eastAsia="en-US"/>
        </w:rPr>
        <w:t>bostøtte</w:t>
      </w:r>
      <w:proofErr w:type="spellEnd"/>
      <w:r w:rsidR="000C3787">
        <w:rPr>
          <w:lang w:eastAsia="en-US"/>
        </w:rPr>
        <w:t xml:space="preserve">/hjemmevejleder. </w:t>
      </w:r>
    </w:p>
    <w:p w14:paraId="4663ADE7" w14:textId="77777777" w:rsidR="00F33623" w:rsidRDefault="00F33623" w:rsidP="00AB3C3D">
      <w:pPr>
        <w:rPr>
          <w:lang w:eastAsia="en-US"/>
        </w:rPr>
      </w:pPr>
    </w:p>
    <w:p w14:paraId="0DD3DD92" w14:textId="44433EEE" w:rsidR="00AB3C3D" w:rsidRDefault="00AB3C3D" w:rsidP="0084529C">
      <w:pPr>
        <w:pStyle w:val="Overskrift2"/>
      </w:pPr>
      <w:r>
        <w:t>2.2. Målgruppens størrelse</w:t>
      </w:r>
    </w:p>
    <w:p w14:paraId="04A85EF0" w14:textId="7002A84E" w:rsidR="004D74BB" w:rsidRDefault="00785AD6" w:rsidP="004D5F22">
      <w:pPr>
        <w:rPr>
          <w:lang w:eastAsia="en-US"/>
        </w:rPr>
      </w:pPr>
      <w:r>
        <w:rPr>
          <w:lang w:eastAsia="en-US"/>
        </w:rPr>
        <w:t>Socialpolitisk Redegørelse 2018 skønner, at ca. 70.000 voksne borgere med nedsat kognitiv eller psykisk funktionsevne modtager ydelser efter serviceloven.</w:t>
      </w:r>
      <w:r w:rsidR="00AD2595">
        <w:rPr>
          <w:rStyle w:val="Fodnotehenvisning"/>
          <w:lang w:eastAsia="en-US"/>
        </w:rPr>
        <w:footnoteReference w:id="1"/>
      </w:r>
      <w:r>
        <w:rPr>
          <w:lang w:eastAsia="en-US"/>
        </w:rPr>
        <w:t xml:space="preserve"> De</w:t>
      </w:r>
      <w:r w:rsidR="000C713A">
        <w:rPr>
          <w:lang w:eastAsia="en-US"/>
        </w:rPr>
        <w:t xml:space="preserve"> vil være i målgruppen for et tilbud om s</w:t>
      </w:r>
      <w:r>
        <w:rPr>
          <w:lang w:eastAsia="en-US"/>
        </w:rPr>
        <w:t>undhedstjek</w:t>
      </w:r>
      <w:r w:rsidR="000C713A">
        <w:rPr>
          <w:lang w:eastAsia="en-US"/>
        </w:rPr>
        <w:t xml:space="preserve">. Der er tale om </w:t>
      </w:r>
      <w:r>
        <w:rPr>
          <w:lang w:eastAsia="en-US"/>
        </w:rPr>
        <w:t xml:space="preserve">borgere med angst, skizofreni, udviklingshæmning, hjerneskade, </w:t>
      </w:r>
      <w:r w:rsidR="00691099">
        <w:rPr>
          <w:lang w:eastAsia="en-US"/>
        </w:rPr>
        <w:t xml:space="preserve">autisme, </w:t>
      </w:r>
      <w:r>
        <w:rPr>
          <w:lang w:eastAsia="en-US"/>
        </w:rPr>
        <w:t xml:space="preserve">epilepsi mv. </w:t>
      </w:r>
    </w:p>
    <w:p w14:paraId="6EEE78A6" w14:textId="77777777" w:rsidR="00785AD6" w:rsidRDefault="00785AD6" w:rsidP="004D5F22">
      <w:pPr>
        <w:rPr>
          <w:lang w:eastAsia="en-US"/>
        </w:rPr>
      </w:pPr>
    </w:p>
    <w:p w14:paraId="4D97682C" w14:textId="4611E2A1" w:rsidR="00785AD6" w:rsidRDefault="000C713A" w:rsidP="004D5F22">
      <w:pPr>
        <w:rPr>
          <w:lang w:eastAsia="en-US"/>
        </w:rPr>
      </w:pPr>
      <w:r>
        <w:rPr>
          <w:lang w:eastAsia="en-US"/>
        </w:rPr>
        <w:t xml:space="preserve">Der vil være nogle borgere, der med den nødvendige støtte er i stand til at tage vare på egen sundhed. Målgruppen størrelse sættes derfor til 60.000 borgere.  </w:t>
      </w:r>
      <w:r w:rsidR="00785AD6">
        <w:rPr>
          <w:lang w:eastAsia="en-US"/>
        </w:rPr>
        <w:t xml:space="preserve"> </w:t>
      </w:r>
    </w:p>
    <w:p w14:paraId="62D21756" w14:textId="22A8754F" w:rsidR="00AB3C3D" w:rsidRDefault="00AB3C3D" w:rsidP="0084529C">
      <w:pPr>
        <w:pStyle w:val="Overskrift2"/>
      </w:pPr>
      <w:r>
        <w:t>2.3 Frekvens</w:t>
      </w:r>
    </w:p>
    <w:p w14:paraId="405155A2" w14:textId="5DDEDF17" w:rsidR="009B352A" w:rsidRDefault="009B352A" w:rsidP="00AB3C3D">
      <w:pPr>
        <w:rPr>
          <w:lang w:eastAsia="en-US"/>
        </w:rPr>
      </w:pPr>
      <w:r>
        <w:rPr>
          <w:lang w:eastAsia="en-US"/>
        </w:rPr>
        <w:t xml:space="preserve">Det er </w:t>
      </w:r>
      <w:r w:rsidR="00285D6E">
        <w:rPr>
          <w:lang w:eastAsia="en-US"/>
        </w:rPr>
        <w:t xml:space="preserve">her </w:t>
      </w:r>
      <w:r>
        <w:rPr>
          <w:lang w:eastAsia="en-US"/>
        </w:rPr>
        <w:t xml:space="preserve">forudsat, at borgeren tilbydes et sundhedstjek 1 gang om året. </w:t>
      </w:r>
    </w:p>
    <w:p w14:paraId="4F7921E6" w14:textId="7684CAEF" w:rsidR="009B352A" w:rsidRDefault="009B352A" w:rsidP="0084529C">
      <w:pPr>
        <w:pStyle w:val="Overskrift2"/>
      </w:pPr>
      <w:r>
        <w:t>2.4 Deltagelsesgrad</w:t>
      </w:r>
    </w:p>
    <w:p w14:paraId="7D509C70" w14:textId="77777777" w:rsidR="00551FFE" w:rsidRDefault="00551FFE" w:rsidP="00AB3C3D">
      <w:pPr>
        <w:rPr>
          <w:lang w:eastAsia="en-US"/>
        </w:rPr>
      </w:pPr>
      <w:r>
        <w:rPr>
          <w:lang w:eastAsia="en-US"/>
        </w:rPr>
        <w:t xml:space="preserve">Udgifterne afhænger af, hvor mange der reelt tager imod tilbuddet om sundhedstjek. Fx tog 63 % mod tilbuddet i Roskilde Kommunes forsøg. </w:t>
      </w:r>
    </w:p>
    <w:p w14:paraId="2E2F6918" w14:textId="77777777" w:rsidR="00551FFE" w:rsidRDefault="00551FFE" w:rsidP="00AB3C3D">
      <w:pPr>
        <w:rPr>
          <w:lang w:eastAsia="en-US"/>
        </w:rPr>
      </w:pPr>
    </w:p>
    <w:p w14:paraId="5F6A2EAE" w14:textId="75D39C80" w:rsidR="009B352A" w:rsidRDefault="0084529C" w:rsidP="00AB3C3D">
      <w:pPr>
        <w:rPr>
          <w:lang w:eastAsia="en-US"/>
        </w:rPr>
      </w:pPr>
      <w:r>
        <w:rPr>
          <w:lang w:eastAsia="en-US"/>
        </w:rPr>
        <w:t xml:space="preserve">Formentlig vil der være tale om en indfasning med forhåbentlig stigende deltagelsesgrad. </w:t>
      </w:r>
      <w:r w:rsidR="001579A3">
        <w:rPr>
          <w:lang w:eastAsia="en-US"/>
        </w:rPr>
        <w:t xml:space="preserve">Sundhedstjekket er frivilligt og </w:t>
      </w:r>
      <w:r w:rsidR="000C713A">
        <w:rPr>
          <w:lang w:eastAsia="en-US"/>
        </w:rPr>
        <w:t xml:space="preserve">forudsætter </w:t>
      </w:r>
      <w:r w:rsidR="00170EA2">
        <w:rPr>
          <w:lang w:eastAsia="en-US"/>
        </w:rPr>
        <w:t>s</w:t>
      </w:r>
      <w:r w:rsidR="000C713A">
        <w:rPr>
          <w:lang w:eastAsia="en-US"/>
        </w:rPr>
        <w:t>amtykke</w:t>
      </w:r>
      <w:r w:rsidR="001579A3">
        <w:rPr>
          <w:lang w:eastAsia="en-US"/>
        </w:rPr>
        <w:t xml:space="preserve"> </w:t>
      </w:r>
      <w:r w:rsidR="00170EA2">
        <w:rPr>
          <w:lang w:eastAsia="en-US"/>
        </w:rPr>
        <w:t xml:space="preserve">og borgerens aktive medvirken. </w:t>
      </w:r>
      <w:r w:rsidR="00551FFE">
        <w:rPr>
          <w:lang w:eastAsia="en-US"/>
        </w:rPr>
        <w:t xml:space="preserve">Det antages, at </w:t>
      </w:r>
      <w:r w:rsidR="001579A3">
        <w:rPr>
          <w:lang w:eastAsia="en-US"/>
        </w:rPr>
        <w:t>85</w:t>
      </w:r>
      <w:r w:rsidR="007F531A">
        <w:rPr>
          <w:lang w:eastAsia="en-US"/>
        </w:rPr>
        <w:t xml:space="preserve"> </w:t>
      </w:r>
      <w:r w:rsidR="00551FFE">
        <w:rPr>
          <w:lang w:eastAsia="en-US"/>
        </w:rPr>
        <w:t xml:space="preserve">% af målgruppen </w:t>
      </w:r>
      <w:r w:rsidR="007F531A">
        <w:rPr>
          <w:lang w:eastAsia="en-US"/>
        </w:rPr>
        <w:t>tager imod</w:t>
      </w:r>
      <w:r w:rsidR="00756FA5">
        <w:rPr>
          <w:lang w:eastAsia="en-US"/>
        </w:rPr>
        <w:t xml:space="preserve"> sundhedstjekket. </w:t>
      </w:r>
      <w:r w:rsidR="00551FFE">
        <w:rPr>
          <w:lang w:eastAsia="en-US"/>
        </w:rPr>
        <w:t xml:space="preserve"> </w:t>
      </w:r>
    </w:p>
    <w:p w14:paraId="796614C3" w14:textId="7182EE1A" w:rsidR="00AB3C3D" w:rsidRDefault="00AB3C3D" w:rsidP="0084529C">
      <w:pPr>
        <w:pStyle w:val="Overskrift2"/>
      </w:pPr>
      <w:r>
        <w:t>2.</w:t>
      </w:r>
      <w:r w:rsidR="007F531A">
        <w:t>5</w:t>
      </w:r>
      <w:r>
        <w:t xml:space="preserve"> Støttepersonale</w:t>
      </w:r>
    </w:p>
    <w:p w14:paraId="745D5B8B" w14:textId="06D54269" w:rsidR="00756FA5" w:rsidRDefault="00756FA5" w:rsidP="00AB3C3D">
      <w:pPr>
        <w:rPr>
          <w:lang w:eastAsia="en-US"/>
        </w:rPr>
      </w:pPr>
      <w:r>
        <w:rPr>
          <w:lang w:eastAsia="en-US"/>
        </w:rPr>
        <w:t xml:space="preserve">De fleste af borgerne i målgruppen har behov for hjælp til tidsbestilling, udfyldelse af forberedelsesskema, ledsagelse til læge og blodprøvetagning og hjælp til opfølgning på resultaterne af tjekket. </w:t>
      </w:r>
    </w:p>
    <w:p w14:paraId="3E61729D" w14:textId="77777777" w:rsidR="00756FA5" w:rsidRDefault="00756FA5" w:rsidP="00AB3C3D">
      <w:pPr>
        <w:rPr>
          <w:lang w:eastAsia="en-US"/>
        </w:rPr>
      </w:pPr>
    </w:p>
    <w:p w14:paraId="7D5EF738" w14:textId="12280AE5" w:rsidR="00756FA5" w:rsidRDefault="00756FA5" w:rsidP="00AB3C3D">
      <w:pPr>
        <w:rPr>
          <w:lang w:eastAsia="en-US"/>
        </w:rPr>
      </w:pPr>
      <w:r>
        <w:rPr>
          <w:lang w:eastAsia="en-US"/>
        </w:rPr>
        <w:t xml:space="preserve">Det er antaget, ud fra erfaringer fra bl.a. Roskilde, der lavede forsøg med udviklingshæmmede, der boede for sig selv med regelmæssige besøg af hjemmevejleder, at der er behov for 4-6 timers støtte fra hjemmevejlederen. </w:t>
      </w:r>
    </w:p>
    <w:p w14:paraId="7DCA9BEF" w14:textId="77777777" w:rsidR="00756FA5" w:rsidRDefault="00756FA5" w:rsidP="00AB3C3D">
      <w:pPr>
        <w:rPr>
          <w:lang w:eastAsia="en-US"/>
        </w:rPr>
      </w:pPr>
    </w:p>
    <w:p w14:paraId="60CD0D4B" w14:textId="44CDC5B8" w:rsidR="00756FA5" w:rsidRDefault="00756FA5" w:rsidP="00AB3C3D">
      <w:pPr>
        <w:rPr>
          <w:lang w:eastAsia="en-US"/>
        </w:rPr>
      </w:pPr>
      <w:r>
        <w:rPr>
          <w:lang w:eastAsia="en-US"/>
        </w:rPr>
        <w:t xml:space="preserve">På bosteder </w:t>
      </w:r>
      <w:r w:rsidR="00285D6E">
        <w:rPr>
          <w:lang w:eastAsia="en-US"/>
        </w:rPr>
        <w:t>antages e</w:t>
      </w:r>
      <w:r w:rsidR="007F531A">
        <w:rPr>
          <w:lang w:eastAsia="en-US"/>
        </w:rPr>
        <w:t xml:space="preserve">n del af den nødvendige støttetid </w:t>
      </w:r>
      <w:r w:rsidR="00285D6E">
        <w:rPr>
          <w:lang w:eastAsia="en-US"/>
        </w:rPr>
        <w:t xml:space="preserve">at </w:t>
      </w:r>
      <w:r w:rsidR="007F531A">
        <w:rPr>
          <w:lang w:eastAsia="en-US"/>
        </w:rPr>
        <w:t xml:space="preserve">kunne løftes inden for de eksisterende personalemæssige rammer. </w:t>
      </w:r>
    </w:p>
    <w:p w14:paraId="4446FD7D" w14:textId="77777777" w:rsidR="007F531A" w:rsidRDefault="007F531A" w:rsidP="00AB3C3D">
      <w:pPr>
        <w:rPr>
          <w:lang w:eastAsia="en-US"/>
        </w:rPr>
      </w:pPr>
    </w:p>
    <w:p w14:paraId="050005C7" w14:textId="31490FC4" w:rsidR="007F531A" w:rsidRDefault="007F531A" w:rsidP="00AB3C3D">
      <w:pPr>
        <w:rPr>
          <w:lang w:eastAsia="en-US"/>
        </w:rPr>
      </w:pPr>
      <w:r>
        <w:rPr>
          <w:lang w:eastAsia="en-US"/>
        </w:rPr>
        <w:t xml:space="preserve">Det </w:t>
      </w:r>
      <w:r w:rsidR="00285D6E">
        <w:rPr>
          <w:lang w:eastAsia="en-US"/>
        </w:rPr>
        <w:t>antages således for den samlede målgruppe</w:t>
      </w:r>
      <w:r>
        <w:rPr>
          <w:lang w:eastAsia="en-US"/>
        </w:rPr>
        <w:t xml:space="preserve">, at </w:t>
      </w:r>
      <w:r w:rsidR="00EC7B45">
        <w:rPr>
          <w:lang w:eastAsia="en-US"/>
        </w:rPr>
        <w:t>4</w:t>
      </w:r>
      <w:r>
        <w:rPr>
          <w:lang w:eastAsia="en-US"/>
        </w:rPr>
        <w:t xml:space="preserve"> timers støtte </w:t>
      </w:r>
      <w:r w:rsidR="00285D6E">
        <w:rPr>
          <w:lang w:eastAsia="en-US"/>
        </w:rPr>
        <w:t xml:space="preserve">pr. </w:t>
      </w:r>
      <w:r>
        <w:rPr>
          <w:lang w:eastAsia="en-US"/>
        </w:rPr>
        <w:t>borger</w:t>
      </w:r>
      <w:r w:rsidR="00285D6E">
        <w:rPr>
          <w:lang w:eastAsia="en-US"/>
        </w:rPr>
        <w:t xml:space="preserve"> er nødvendig.  </w:t>
      </w:r>
      <w:r>
        <w:rPr>
          <w:lang w:eastAsia="en-US"/>
        </w:rPr>
        <w:t xml:space="preserve"> </w:t>
      </w:r>
    </w:p>
    <w:p w14:paraId="750CB55D" w14:textId="77777777" w:rsidR="007F531A" w:rsidRDefault="007F531A" w:rsidP="00AB3C3D">
      <w:pPr>
        <w:rPr>
          <w:lang w:eastAsia="en-US"/>
        </w:rPr>
      </w:pPr>
    </w:p>
    <w:p w14:paraId="7277866A" w14:textId="16E71262" w:rsidR="007F531A" w:rsidRDefault="007F531A" w:rsidP="00AB3C3D">
      <w:pPr>
        <w:rPr>
          <w:lang w:eastAsia="en-US"/>
        </w:rPr>
      </w:pPr>
      <w:r>
        <w:rPr>
          <w:lang w:eastAsia="en-US"/>
        </w:rPr>
        <w:t>Der tage</w:t>
      </w:r>
      <w:r w:rsidR="00285D6E">
        <w:rPr>
          <w:lang w:eastAsia="en-US"/>
        </w:rPr>
        <w:t>s</w:t>
      </w:r>
      <w:r>
        <w:rPr>
          <w:lang w:eastAsia="en-US"/>
        </w:rPr>
        <w:t xml:space="preserve"> udgangspunkt i lønnen for en fuldtidsansat kommunal hjemmevejleder, som </w:t>
      </w:r>
      <w:r w:rsidR="00285D6E">
        <w:rPr>
          <w:lang w:eastAsia="en-US"/>
        </w:rPr>
        <w:t xml:space="preserve">pr. </w:t>
      </w:r>
      <w:r w:rsidR="001C07B3">
        <w:rPr>
          <w:lang w:eastAsia="en-US"/>
        </w:rPr>
        <w:t>november 2018 er på 37.263 kr.</w:t>
      </w:r>
      <w:r w:rsidR="001C07B3">
        <w:rPr>
          <w:rStyle w:val="Fodnotehenvisning"/>
          <w:lang w:eastAsia="en-US"/>
        </w:rPr>
        <w:footnoteReference w:id="2"/>
      </w:r>
      <w:r w:rsidR="001C07B3">
        <w:rPr>
          <w:lang w:eastAsia="en-US"/>
        </w:rPr>
        <w:t xml:space="preserve"> </w:t>
      </w:r>
      <w:r w:rsidR="000C713A">
        <w:rPr>
          <w:lang w:eastAsia="en-US"/>
        </w:rPr>
        <w:t>Med en gennemsnitlig månedlig arbejdstid på 160,33 timer fås en timeløn på afrundet 2</w:t>
      </w:r>
      <w:r w:rsidR="00C66DF5">
        <w:rPr>
          <w:lang w:eastAsia="en-US"/>
        </w:rPr>
        <w:t>32</w:t>
      </w:r>
      <w:r w:rsidR="000C713A">
        <w:rPr>
          <w:lang w:eastAsia="en-US"/>
        </w:rPr>
        <w:t xml:space="preserve"> kr. </w:t>
      </w:r>
      <w:r w:rsidR="00EC7B45">
        <w:rPr>
          <w:lang w:eastAsia="en-US"/>
        </w:rPr>
        <w:t>4</w:t>
      </w:r>
      <w:r w:rsidR="000A5095">
        <w:rPr>
          <w:lang w:eastAsia="en-US"/>
        </w:rPr>
        <w:t xml:space="preserve"> timers støtte koster</w:t>
      </w:r>
      <w:r w:rsidR="00EC7B45">
        <w:rPr>
          <w:lang w:eastAsia="en-US"/>
        </w:rPr>
        <w:t xml:space="preserve"> 928</w:t>
      </w:r>
      <w:r w:rsidR="000A5095">
        <w:rPr>
          <w:lang w:eastAsia="en-US"/>
        </w:rPr>
        <w:t xml:space="preserve"> kr.</w:t>
      </w:r>
    </w:p>
    <w:p w14:paraId="6365B8E5" w14:textId="77777777" w:rsidR="007F531A" w:rsidRDefault="007F531A" w:rsidP="00AB3C3D">
      <w:pPr>
        <w:rPr>
          <w:lang w:eastAsia="en-US"/>
        </w:rPr>
      </w:pPr>
    </w:p>
    <w:p w14:paraId="3B76BAEA" w14:textId="57B9ACB7" w:rsidR="00756FA5" w:rsidRDefault="00756FA5" w:rsidP="00AB3C3D">
      <w:pPr>
        <w:rPr>
          <w:lang w:eastAsia="en-US"/>
        </w:rPr>
      </w:pPr>
      <w:r>
        <w:rPr>
          <w:lang w:eastAsia="en-US"/>
        </w:rPr>
        <w:t>Opstartsmøder for hjemmevejledere, kompetenceudvikling mv</w:t>
      </w:r>
      <w:r w:rsidR="00893350">
        <w:rPr>
          <w:lang w:eastAsia="en-US"/>
        </w:rPr>
        <w:t xml:space="preserve">. </w:t>
      </w:r>
      <w:r w:rsidR="0084529C">
        <w:rPr>
          <w:lang w:eastAsia="en-US"/>
        </w:rPr>
        <w:t xml:space="preserve">samt administrativt overhead </w:t>
      </w:r>
      <w:r>
        <w:rPr>
          <w:lang w:eastAsia="en-US"/>
        </w:rPr>
        <w:t xml:space="preserve">er ikke medregnet. </w:t>
      </w:r>
    </w:p>
    <w:p w14:paraId="58D034A4" w14:textId="1612AA83" w:rsidR="00AB3C3D" w:rsidRDefault="00AB3C3D" w:rsidP="0084529C">
      <w:pPr>
        <w:pStyle w:val="Overskrift2"/>
      </w:pPr>
      <w:r>
        <w:lastRenderedPageBreak/>
        <w:t>2.</w:t>
      </w:r>
      <w:r w:rsidR="001C07B3">
        <w:t>6</w:t>
      </w:r>
      <w:r>
        <w:t xml:space="preserve"> Selve sundhedstjekket</w:t>
      </w:r>
    </w:p>
    <w:p w14:paraId="46805158" w14:textId="5C75CB46" w:rsidR="00AB3C3D" w:rsidRDefault="001C07B3" w:rsidP="00AB3C3D">
      <w:pPr>
        <w:rPr>
          <w:lang w:eastAsia="en-US"/>
        </w:rPr>
      </w:pPr>
      <w:r>
        <w:rPr>
          <w:lang w:eastAsia="en-US"/>
        </w:rPr>
        <w:t xml:space="preserve">Udgifterne består dels af honorar til lægen, dels af udgifter til blodprøve. </w:t>
      </w:r>
      <w:r w:rsidR="00485729">
        <w:rPr>
          <w:lang w:eastAsia="en-US"/>
        </w:rPr>
        <w:t xml:space="preserve">I de 4 forsøg er der indgået aftaler med lokale PLO-afdelinger. Udgiften varierer derfor noget. </w:t>
      </w:r>
    </w:p>
    <w:p w14:paraId="59B5C5BB" w14:textId="77777777" w:rsidR="00485729" w:rsidRDefault="00485729" w:rsidP="00AB3C3D">
      <w:pPr>
        <w:rPr>
          <w:lang w:eastAsia="en-US"/>
        </w:rPr>
      </w:pPr>
    </w:p>
    <w:p w14:paraId="2D6F854E" w14:textId="0DBA3C41" w:rsidR="00485729" w:rsidRDefault="00485729" w:rsidP="00AB3C3D">
      <w:pPr>
        <w:rPr>
          <w:lang w:eastAsia="en-US"/>
        </w:rPr>
      </w:pPr>
      <w:r>
        <w:rPr>
          <w:lang w:eastAsia="en-US"/>
        </w:rPr>
        <w:t xml:space="preserve">I den ene aftale udgør honoraret 1.650 kr. Blodprøve betales af kommunen </w:t>
      </w:r>
      <w:r w:rsidR="00E3183E">
        <w:rPr>
          <w:lang w:eastAsia="en-US"/>
        </w:rPr>
        <w:t xml:space="preserve">til regionen </w:t>
      </w:r>
      <w:r>
        <w:rPr>
          <w:lang w:eastAsia="en-US"/>
        </w:rPr>
        <w:t>(beløb uoplyst).</w:t>
      </w:r>
      <w:r w:rsidR="0084529C">
        <w:rPr>
          <w:rStyle w:val="Fodnotehenvisning"/>
          <w:lang w:eastAsia="en-US"/>
        </w:rPr>
        <w:footnoteReference w:id="3"/>
      </w:r>
    </w:p>
    <w:p w14:paraId="0C54F707" w14:textId="77777777" w:rsidR="00485729" w:rsidRDefault="00485729" w:rsidP="00AB3C3D">
      <w:pPr>
        <w:rPr>
          <w:lang w:eastAsia="en-US"/>
        </w:rPr>
      </w:pPr>
    </w:p>
    <w:p w14:paraId="32958D74" w14:textId="78E077C3" w:rsidR="00485729" w:rsidRDefault="00485729" w:rsidP="00AB3C3D">
      <w:pPr>
        <w:rPr>
          <w:lang w:eastAsia="en-US"/>
        </w:rPr>
      </w:pPr>
      <w:r>
        <w:rPr>
          <w:lang w:eastAsia="en-US"/>
        </w:rPr>
        <w:t>I den anden aftale udgør honoraret 1.500 kr.</w:t>
      </w:r>
      <w:r w:rsidR="00285D6E" w:rsidRPr="00285D6E">
        <w:rPr>
          <w:vertAlign w:val="superscript"/>
          <w:lang w:eastAsia="en-US"/>
        </w:rPr>
        <w:footnoteReference w:id="4"/>
      </w:r>
      <w:r w:rsidR="00285D6E" w:rsidRPr="00285D6E">
        <w:rPr>
          <w:lang w:eastAsia="en-US"/>
        </w:rPr>
        <w:t xml:space="preserve"> </w:t>
      </w:r>
      <w:r>
        <w:rPr>
          <w:lang w:eastAsia="en-US"/>
        </w:rPr>
        <w:t xml:space="preserve">Blodprøve afregnes efter taksten i </w:t>
      </w:r>
      <w:r w:rsidR="00E752EE">
        <w:rPr>
          <w:lang w:eastAsia="en-US"/>
        </w:rPr>
        <w:t xml:space="preserve">den centrale </w:t>
      </w:r>
      <w:r>
        <w:rPr>
          <w:lang w:eastAsia="en-US"/>
        </w:rPr>
        <w:t>overenskomst</w:t>
      </w:r>
      <w:r w:rsidR="00E752EE">
        <w:rPr>
          <w:lang w:eastAsia="en-US"/>
        </w:rPr>
        <w:t xml:space="preserve"> med almen praksis </w:t>
      </w:r>
      <w:r>
        <w:rPr>
          <w:lang w:eastAsia="en-US"/>
        </w:rPr>
        <w:t>(pt. 47,</w:t>
      </w:r>
      <w:r w:rsidR="00E3183E">
        <w:rPr>
          <w:lang w:eastAsia="en-US"/>
        </w:rPr>
        <w:t>95</w:t>
      </w:r>
      <w:r>
        <w:rPr>
          <w:lang w:eastAsia="en-US"/>
        </w:rPr>
        <w:t xml:space="preserve"> kr.</w:t>
      </w:r>
      <w:r w:rsidR="00E3183E">
        <w:rPr>
          <w:lang w:eastAsia="en-US"/>
        </w:rPr>
        <w:t>)</w:t>
      </w:r>
      <w:r>
        <w:rPr>
          <w:lang w:eastAsia="en-US"/>
        </w:rPr>
        <w:t>.</w:t>
      </w:r>
      <w:r w:rsidR="00E3183E">
        <w:rPr>
          <w:rStyle w:val="Fodnotehenvisning"/>
          <w:lang w:eastAsia="en-US"/>
        </w:rPr>
        <w:footnoteReference w:id="5"/>
      </w:r>
      <w:r>
        <w:rPr>
          <w:lang w:eastAsia="en-US"/>
        </w:rPr>
        <w:t xml:space="preserve"> </w:t>
      </w:r>
    </w:p>
    <w:p w14:paraId="4A8BB58D" w14:textId="77777777" w:rsidR="00485729" w:rsidRDefault="00485729" w:rsidP="00AB3C3D">
      <w:pPr>
        <w:rPr>
          <w:lang w:eastAsia="en-US"/>
        </w:rPr>
      </w:pPr>
    </w:p>
    <w:p w14:paraId="6CC0CF9E" w14:textId="58E6A527" w:rsidR="00485729" w:rsidRDefault="00485729" w:rsidP="00AB3C3D">
      <w:pPr>
        <w:rPr>
          <w:lang w:eastAsia="en-US"/>
        </w:rPr>
      </w:pPr>
      <w:r>
        <w:rPr>
          <w:lang w:eastAsia="en-US"/>
        </w:rPr>
        <w:t xml:space="preserve">I </w:t>
      </w:r>
      <w:proofErr w:type="spellStart"/>
      <w:r>
        <w:rPr>
          <w:lang w:eastAsia="en-US"/>
        </w:rPr>
        <w:t>DH’s</w:t>
      </w:r>
      <w:proofErr w:type="spellEnd"/>
      <w:r>
        <w:rPr>
          <w:lang w:eastAsia="en-US"/>
        </w:rPr>
        <w:t xml:space="preserve"> oprindelige pilotforsøg </w:t>
      </w:r>
      <w:r w:rsidR="00E3183E">
        <w:rPr>
          <w:lang w:eastAsia="en-US"/>
        </w:rPr>
        <w:t>for 5-6 år siden</w:t>
      </w:r>
      <w:r>
        <w:rPr>
          <w:lang w:eastAsia="en-US"/>
        </w:rPr>
        <w:t xml:space="preserve"> udgjorde lægernes honorar 8-900 kr. </w:t>
      </w:r>
    </w:p>
    <w:p w14:paraId="5A8B257D" w14:textId="77777777" w:rsidR="00485729" w:rsidRDefault="00485729" w:rsidP="00AB3C3D">
      <w:pPr>
        <w:rPr>
          <w:lang w:eastAsia="en-US"/>
        </w:rPr>
      </w:pPr>
    </w:p>
    <w:p w14:paraId="1E2ABD92" w14:textId="6FF39CBD" w:rsidR="000C713A" w:rsidRDefault="00E752EE" w:rsidP="00AB3C3D">
      <w:pPr>
        <w:rPr>
          <w:lang w:eastAsia="en-US"/>
        </w:rPr>
      </w:pPr>
      <w:r>
        <w:rPr>
          <w:lang w:eastAsia="en-US"/>
        </w:rPr>
        <w:t>En landsdækkende model vil skulle forhandles på centralt plan</w:t>
      </w:r>
      <w:r w:rsidR="00E3183E">
        <w:rPr>
          <w:lang w:eastAsia="en-US"/>
        </w:rPr>
        <w:t xml:space="preserve">, hvilket kan </w:t>
      </w:r>
      <w:r>
        <w:rPr>
          <w:lang w:eastAsia="en-US"/>
        </w:rPr>
        <w:t xml:space="preserve">resultere i mere moderate honorarer. Det </w:t>
      </w:r>
      <w:r w:rsidR="00CB5167">
        <w:rPr>
          <w:lang w:eastAsia="en-US"/>
        </w:rPr>
        <w:t xml:space="preserve">forudsættes </w:t>
      </w:r>
      <w:r w:rsidR="00E3183E">
        <w:rPr>
          <w:lang w:eastAsia="en-US"/>
        </w:rPr>
        <w:t>her</w:t>
      </w:r>
      <w:r>
        <w:rPr>
          <w:lang w:eastAsia="en-US"/>
        </w:rPr>
        <w:t>, at den samlede udgift til blodprøve og honorar udgør 1.</w:t>
      </w:r>
      <w:r w:rsidR="00730405">
        <w:rPr>
          <w:lang w:eastAsia="en-US"/>
        </w:rPr>
        <w:t>400</w:t>
      </w:r>
      <w:r>
        <w:rPr>
          <w:lang w:eastAsia="en-US"/>
        </w:rPr>
        <w:t xml:space="preserve"> kr. </w:t>
      </w:r>
    </w:p>
    <w:p w14:paraId="543F0EFE" w14:textId="71F93D55" w:rsidR="00AB3C3D" w:rsidRDefault="00AB3C3D" w:rsidP="0084529C">
      <w:pPr>
        <w:pStyle w:val="Overskrift2"/>
      </w:pPr>
      <w:r>
        <w:t xml:space="preserve">2.6 </w:t>
      </w:r>
      <w:r w:rsidR="00CB5167">
        <w:t>U</w:t>
      </w:r>
      <w:r>
        <w:t xml:space="preserve">dgifter til </w:t>
      </w:r>
      <w:proofErr w:type="spellStart"/>
      <w:r>
        <w:t>opfølgende</w:t>
      </w:r>
      <w:proofErr w:type="spellEnd"/>
      <w:r>
        <w:t xml:space="preserve"> behandling</w:t>
      </w:r>
    </w:p>
    <w:p w14:paraId="3C7F85ED" w14:textId="475887EB" w:rsidR="00E752EE" w:rsidRDefault="00E752EE" w:rsidP="00AB3C3D">
      <w:pPr>
        <w:rPr>
          <w:lang w:eastAsia="en-US"/>
        </w:rPr>
      </w:pPr>
      <w:r>
        <w:rPr>
          <w:lang w:eastAsia="en-US"/>
        </w:rPr>
        <w:t xml:space="preserve">Sundhedstjekket kan føre til afledte udgifter til behandling (tandlægeudgifter, genoptræning, fodbehandling, blodtryksmedicin, udgifter til briller, høreapparatbehandling osv. osv.). </w:t>
      </w:r>
    </w:p>
    <w:p w14:paraId="39A71500" w14:textId="77777777" w:rsidR="00E752EE" w:rsidRDefault="00E752EE" w:rsidP="00AB3C3D">
      <w:pPr>
        <w:rPr>
          <w:lang w:eastAsia="en-US"/>
        </w:rPr>
      </w:pPr>
    </w:p>
    <w:p w14:paraId="59DD6868" w14:textId="4B736EF5" w:rsidR="00E752EE" w:rsidRDefault="00E752EE" w:rsidP="00AB3C3D">
      <w:pPr>
        <w:rPr>
          <w:lang w:eastAsia="en-US"/>
        </w:rPr>
      </w:pPr>
      <w:r>
        <w:rPr>
          <w:lang w:eastAsia="en-US"/>
        </w:rPr>
        <w:t>Der er ikke skønnet over disse udgifter. Dels er det for usikkert, dels forudsættes udgifterne afholdt inden for de almindelige rammer for sundhedsbehandling.</w:t>
      </w:r>
    </w:p>
    <w:p w14:paraId="786D1257" w14:textId="77777777" w:rsidR="000A5095" w:rsidRDefault="000A5095" w:rsidP="00AB3C3D">
      <w:pPr>
        <w:rPr>
          <w:lang w:eastAsia="en-US"/>
        </w:rPr>
      </w:pPr>
    </w:p>
    <w:p w14:paraId="0B657D08" w14:textId="09BCD53A" w:rsidR="000A5095" w:rsidRDefault="000A5095" w:rsidP="00AB3C3D">
      <w:pPr>
        <w:rPr>
          <w:b/>
          <w:lang w:eastAsia="en-US"/>
        </w:rPr>
      </w:pPr>
      <w:r w:rsidRPr="000A5095">
        <w:rPr>
          <w:b/>
          <w:lang w:eastAsia="en-US"/>
        </w:rPr>
        <w:t xml:space="preserve">2.7 Fradrag for </w:t>
      </w:r>
      <w:r w:rsidR="00AB3538">
        <w:rPr>
          <w:b/>
          <w:lang w:eastAsia="en-US"/>
        </w:rPr>
        <w:t xml:space="preserve">igangværende sundhedstjek-rutiner </w:t>
      </w:r>
      <w:r w:rsidRPr="000A5095">
        <w:rPr>
          <w:b/>
          <w:lang w:eastAsia="en-US"/>
        </w:rPr>
        <w:t xml:space="preserve"> </w:t>
      </w:r>
    </w:p>
    <w:p w14:paraId="65A57086" w14:textId="452CCB57" w:rsidR="00AB3538" w:rsidRDefault="00AB3538" w:rsidP="00AB3C3D">
      <w:pPr>
        <w:rPr>
          <w:lang w:eastAsia="en-US"/>
        </w:rPr>
      </w:pPr>
      <w:r>
        <w:rPr>
          <w:lang w:eastAsia="en-US"/>
        </w:rPr>
        <w:t xml:space="preserve">Der er enkelte steder indført sundhedstjek-ordninger. Det gælder fx bostedet Tangkær </w:t>
      </w:r>
      <w:r w:rsidR="007F27DA">
        <w:rPr>
          <w:lang w:eastAsia="en-US"/>
        </w:rPr>
        <w:t xml:space="preserve">i Region Midt </w:t>
      </w:r>
      <w:r>
        <w:rPr>
          <w:lang w:eastAsia="en-US"/>
        </w:rPr>
        <w:t>og Løgumgård i Tønder Kommune.</w:t>
      </w:r>
      <w:r w:rsidR="007F27DA">
        <w:rPr>
          <w:rStyle w:val="Fodnotehenvisning"/>
          <w:lang w:eastAsia="en-US"/>
        </w:rPr>
        <w:footnoteReference w:id="6"/>
      </w:r>
      <w:r>
        <w:rPr>
          <w:lang w:eastAsia="en-US"/>
        </w:rPr>
        <w:t xml:space="preserve"> Der er givetvis andre bosteder, hvor rutiner med at få beboere på bosteder regelmæssigt undersøgt af en læge regelmæssigt fungerer. </w:t>
      </w:r>
    </w:p>
    <w:p w14:paraId="01282AE4" w14:textId="77777777" w:rsidR="00AB3538" w:rsidRDefault="00AB3538" w:rsidP="00AB3C3D">
      <w:pPr>
        <w:rPr>
          <w:lang w:eastAsia="en-US"/>
        </w:rPr>
      </w:pPr>
    </w:p>
    <w:p w14:paraId="7D022D90" w14:textId="7ACC3237" w:rsidR="00AB3538" w:rsidRPr="00AB3538" w:rsidRDefault="00AB3538" w:rsidP="00AB3C3D">
      <w:pPr>
        <w:rPr>
          <w:lang w:eastAsia="en-US"/>
        </w:rPr>
      </w:pPr>
      <w:r>
        <w:rPr>
          <w:lang w:eastAsia="en-US"/>
        </w:rPr>
        <w:t xml:space="preserve">Der bør derfor være et fradrag for allerede etablerede sundhedstjek-lignende ordninger. På skønsbasis sættes beløbet til </w:t>
      </w:r>
      <w:r w:rsidR="00CA7237">
        <w:rPr>
          <w:lang w:eastAsia="en-US"/>
        </w:rPr>
        <w:t>20</w:t>
      </w:r>
      <w:r>
        <w:rPr>
          <w:lang w:eastAsia="en-US"/>
        </w:rPr>
        <w:t xml:space="preserve"> mio.kr. årligt. </w:t>
      </w:r>
    </w:p>
    <w:p w14:paraId="0A9D493D" w14:textId="36ABF592" w:rsidR="00F33623" w:rsidRDefault="00F33623" w:rsidP="0084529C">
      <w:pPr>
        <w:pStyle w:val="Overskrift2"/>
      </w:pPr>
      <w:r>
        <w:t>2.</w:t>
      </w:r>
      <w:r w:rsidR="00CA7237">
        <w:t>8</w:t>
      </w:r>
      <w:r>
        <w:t xml:space="preserve"> </w:t>
      </w:r>
      <w:r w:rsidR="006D1193">
        <w:t>S</w:t>
      </w:r>
      <w:r w:rsidR="00CB5167">
        <w:t>amfundsøkonomiske effekter</w:t>
      </w:r>
    </w:p>
    <w:p w14:paraId="7A3F45B5" w14:textId="4F687AC2" w:rsidR="006D1193" w:rsidRDefault="006D1193" w:rsidP="00AB3C3D">
      <w:pPr>
        <w:rPr>
          <w:lang w:eastAsia="en-US"/>
        </w:rPr>
      </w:pPr>
      <w:r>
        <w:rPr>
          <w:lang w:eastAsia="en-US"/>
        </w:rPr>
        <w:t>F</w:t>
      </w:r>
      <w:r w:rsidR="00CB5167">
        <w:rPr>
          <w:lang w:eastAsia="en-US"/>
        </w:rPr>
        <w:t>å</w:t>
      </w:r>
      <w:r w:rsidR="000A5095">
        <w:rPr>
          <w:lang w:eastAsia="en-US"/>
        </w:rPr>
        <w:t xml:space="preserve"> i målgruppen er i uddannelse eller i ordinær beskæftigelse. </w:t>
      </w:r>
      <w:r>
        <w:rPr>
          <w:lang w:eastAsia="en-US"/>
        </w:rPr>
        <w:t>Der</w:t>
      </w:r>
      <w:r w:rsidR="000A5095">
        <w:rPr>
          <w:lang w:eastAsia="en-US"/>
        </w:rPr>
        <w:t xml:space="preserve"> </w:t>
      </w:r>
      <w:r w:rsidR="006F2390">
        <w:rPr>
          <w:lang w:eastAsia="en-US"/>
        </w:rPr>
        <w:t xml:space="preserve">påregnes ikke </w:t>
      </w:r>
      <w:r w:rsidR="00CB5167">
        <w:rPr>
          <w:lang w:eastAsia="en-US"/>
        </w:rPr>
        <w:t xml:space="preserve">samfundsøkonomiske gevinster </w:t>
      </w:r>
      <w:r>
        <w:rPr>
          <w:lang w:eastAsia="en-US"/>
        </w:rPr>
        <w:t xml:space="preserve">i </w:t>
      </w:r>
      <w:r w:rsidR="006F2390">
        <w:rPr>
          <w:lang w:eastAsia="en-US"/>
        </w:rPr>
        <w:t xml:space="preserve">form af </w:t>
      </w:r>
      <w:r w:rsidR="00CB5167">
        <w:rPr>
          <w:lang w:eastAsia="en-US"/>
        </w:rPr>
        <w:t xml:space="preserve">færre udgifter til </w:t>
      </w:r>
      <w:r>
        <w:rPr>
          <w:lang w:eastAsia="en-US"/>
        </w:rPr>
        <w:t>overførselsindkomster eller flere skatteindtægter</w:t>
      </w:r>
      <w:r w:rsidR="006F2390">
        <w:rPr>
          <w:lang w:eastAsia="en-US"/>
        </w:rPr>
        <w:t xml:space="preserve"> som følge af forbedret arbejdsmarkedstilknytning. </w:t>
      </w:r>
      <w:r>
        <w:rPr>
          <w:lang w:eastAsia="en-US"/>
        </w:rPr>
        <w:t xml:space="preserve"> </w:t>
      </w:r>
    </w:p>
    <w:p w14:paraId="1AD48EFB" w14:textId="77777777" w:rsidR="006D1193" w:rsidRDefault="006D1193" w:rsidP="00AB3C3D">
      <w:pPr>
        <w:rPr>
          <w:lang w:eastAsia="en-US"/>
        </w:rPr>
      </w:pPr>
    </w:p>
    <w:p w14:paraId="677DE409" w14:textId="5A510B5D" w:rsidR="006D1193" w:rsidRDefault="006D1193" w:rsidP="00AB3C3D">
      <w:pPr>
        <w:rPr>
          <w:lang w:eastAsia="en-US"/>
        </w:rPr>
      </w:pPr>
      <w:r>
        <w:rPr>
          <w:lang w:eastAsia="en-US"/>
        </w:rPr>
        <w:lastRenderedPageBreak/>
        <w:t>Der kan derimod</w:t>
      </w:r>
      <w:r w:rsidR="006F2390">
        <w:rPr>
          <w:lang w:eastAsia="en-US"/>
        </w:rPr>
        <w:t xml:space="preserve"> - </w:t>
      </w:r>
      <w:r>
        <w:rPr>
          <w:lang w:eastAsia="en-US"/>
        </w:rPr>
        <w:t xml:space="preserve">for </w:t>
      </w:r>
      <w:r w:rsidR="006F2390">
        <w:rPr>
          <w:lang w:eastAsia="en-US"/>
        </w:rPr>
        <w:t>en del af bor</w:t>
      </w:r>
      <w:r>
        <w:rPr>
          <w:lang w:eastAsia="en-US"/>
        </w:rPr>
        <w:t xml:space="preserve">gerne i målgruppen </w:t>
      </w:r>
      <w:r w:rsidR="006F2390">
        <w:rPr>
          <w:lang w:eastAsia="en-US"/>
        </w:rPr>
        <w:t xml:space="preserve">- </w:t>
      </w:r>
      <w:r>
        <w:rPr>
          <w:lang w:eastAsia="en-US"/>
        </w:rPr>
        <w:t xml:space="preserve">være </w:t>
      </w:r>
      <w:r w:rsidR="006F2390">
        <w:rPr>
          <w:lang w:eastAsia="en-US"/>
        </w:rPr>
        <w:t>andre</w:t>
      </w:r>
      <w:r>
        <w:rPr>
          <w:lang w:eastAsia="en-US"/>
        </w:rPr>
        <w:t xml:space="preserve"> positive samfundsøkonomiske effekter. På bostedet Tangkær, der bl.a. har en afdeling for beboere med psykiatriske lidelser, har man indført </w:t>
      </w:r>
      <w:r w:rsidR="008F62E0">
        <w:rPr>
          <w:lang w:eastAsia="en-US"/>
        </w:rPr>
        <w:t xml:space="preserve">en særlig </w:t>
      </w:r>
      <w:r>
        <w:rPr>
          <w:lang w:eastAsia="en-US"/>
        </w:rPr>
        <w:t>sundhedstjek</w:t>
      </w:r>
      <w:r w:rsidR="008F62E0">
        <w:rPr>
          <w:lang w:eastAsia="en-US"/>
        </w:rPr>
        <w:t>-variant</w:t>
      </w:r>
      <w:r>
        <w:rPr>
          <w:lang w:eastAsia="en-US"/>
        </w:rPr>
        <w:t xml:space="preserve">. En sundhedsøkonomisk analyse opgør den samfundsøkonomiske gevinst til </w:t>
      </w:r>
      <w:r w:rsidR="001E4D9F">
        <w:rPr>
          <w:lang w:eastAsia="en-US"/>
        </w:rPr>
        <w:t xml:space="preserve">ca. </w:t>
      </w:r>
      <w:r>
        <w:rPr>
          <w:lang w:eastAsia="en-US"/>
        </w:rPr>
        <w:t xml:space="preserve">100.000 kr. pr. beboer. </w:t>
      </w:r>
      <w:r w:rsidR="00DC7306">
        <w:rPr>
          <w:lang w:eastAsia="en-US"/>
        </w:rPr>
        <w:t xml:space="preserve">Det skyldes især lavere </w:t>
      </w:r>
      <w:r w:rsidR="006F2390">
        <w:rPr>
          <w:lang w:eastAsia="en-US"/>
        </w:rPr>
        <w:t xml:space="preserve">omkostninger på grund af mindre </w:t>
      </w:r>
      <w:r w:rsidR="00DC7306">
        <w:rPr>
          <w:lang w:eastAsia="en-US"/>
        </w:rPr>
        <w:t>medicinforbrug og færre indlæggelsesdage på psykiatriske afdelinger.</w:t>
      </w:r>
      <w:r w:rsidR="008F62E0">
        <w:rPr>
          <w:rStyle w:val="Fodnotehenvisning"/>
          <w:lang w:eastAsia="en-US"/>
        </w:rPr>
        <w:footnoteReference w:id="7"/>
      </w:r>
      <w:r w:rsidR="00DC7306">
        <w:rPr>
          <w:lang w:eastAsia="en-US"/>
        </w:rPr>
        <w:t xml:space="preserve"> </w:t>
      </w:r>
    </w:p>
    <w:p w14:paraId="60132568" w14:textId="77777777" w:rsidR="00DC7306" w:rsidRDefault="00DC7306" w:rsidP="00AB3C3D">
      <w:pPr>
        <w:rPr>
          <w:lang w:eastAsia="en-US"/>
        </w:rPr>
      </w:pPr>
    </w:p>
    <w:p w14:paraId="598EE736" w14:textId="214BEA6D" w:rsidR="00DC7306" w:rsidRDefault="00DC7306" w:rsidP="00AB3C3D">
      <w:pPr>
        <w:rPr>
          <w:lang w:eastAsia="en-US"/>
        </w:rPr>
      </w:pPr>
      <w:r>
        <w:rPr>
          <w:lang w:eastAsia="en-US"/>
        </w:rPr>
        <w:t xml:space="preserve">Der </w:t>
      </w:r>
      <w:r w:rsidR="000A5095">
        <w:rPr>
          <w:lang w:eastAsia="en-US"/>
        </w:rPr>
        <w:t xml:space="preserve">vil </w:t>
      </w:r>
      <w:r>
        <w:rPr>
          <w:lang w:eastAsia="en-US"/>
        </w:rPr>
        <w:t xml:space="preserve">være samfundsøkonomiske gevinster ved sundhedstjekket. </w:t>
      </w:r>
      <w:r w:rsidR="000A5095">
        <w:rPr>
          <w:lang w:eastAsia="en-US"/>
        </w:rPr>
        <w:t xml:space="preserve">Hvis der for blot 1.000 borgere nås samme omkostningsreduktion som på Tangkær, svarer det til 100 mio.kr. </w:t>
      </w:r>
      <w:r>
        <w:rPr>
          <w:lang w:eastAsia="en-US"/>
        </w:rPr>
        <w:t xml:space="preserve">Men det vurderes her at være for usikkert at skønne over </w:t>
      </w:r>
      <w:r w:rsidR="000A5095">
        <w:rPr>
          <w:lang w:eastAsia="en-US"/>
        </w:rPr>
        <w:t xml:space="preserve">effekterne </w:t>
      </w:r>
      <w:r>
        <w:rPr>
          <w:lang w:eastAsia="en-US"/>
        </w:rPr>
        <w:t xml:space="preserve">for den samlede målgruppe. </w:t>
      </w:r>
    </w:p>
    <w:p w14:paraId="6B10E864" w14:textId="77777777" w:rsidR="008F62E0" w:rsidRDefault="008F62E0" w:rsidP="00AB3C3D">
      <w:pPr>
        <w:rPr>
          <w:lang w:eastAsia="en-US"/>
        </w:rPr>
      </w:pPr>
    </w:p>
    <w:p w14:paraId="02B03FAA" w14:textId="4D11B862" w:rsidR="008F62E0" w:rsidRPr="001159DE" w:rsidRDefault="001159DE" w:rsidP="001159DE">
      <w:pPr>
        <w:pStyle w:val="Overskrift2"/>
      </w:pPr>
      <w:r w:rsidRPr="001159DE">
        <w:t xml:space="preserve">3. Udgifter til indførelse af sundhedstjek </w:t>
      </w:r>
    </w:p>
    <w:p w14:paraId="35F9D94A" w14:textId="77777777" w:rsidR="001159DE" w:rsidRDefault="001159DE" w:rsidP="00AB3C3D">
      <w:pPr>
        <w:rPr>
          <w:lang w:eastAsia="en-US"/>
        </w:rPr>
      </w:pPr>
    </w:p>
    <w:p w14:paraId="2457F373" w14:textId="77777777" w:rsidR="00EC7B45" w:rsidRDefault="00EC7B45" w:rsidP="00AB3C3D">
      <w:pPr>
        <w:rPr>
          <w:lang w:eastAsia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23"/>
        <w:gridCol w:w="3224"/>
        <w:gridCol w:w="3224"/>
      </w:tblGrid>
      <w:tr w:rsidR="00EC7B45" w14:paraId="064AB05F" w14:textId="77777777" w:rsidTr="00EC7B45">
        <w:tc>
          <w:tcPr>
            <w:tcW w:w="3223" w:type="dxa"/>
          </w:tcPr>
          <w:p w14:paraId="238ED81A" w14:textId="69A71ABE" w:rsidR="00EC7B45" w:rsidRDefault="00AD6F6D" w:rsidP="00AD6F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Post</w:t>
            </w:r>
          </w:p>
        </w:tc>
        <w:tc>
          <w:tcPr>
            <w:tcW w:w="3224" w:type="dxa"/>
          </w:tcPr>
          <w:p w14:paraId="3A05229B" w14:textId="4FFD090E" w:rsidR="00EC7B45" w:rsidRDefault="00AD6F6D" w:rsidP="00AD6F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Mellemregning </w:t>
            </w:r>
          </w:p>
        </w:tc>
        <w:tc>
          <w:tcPr>
            <w:tcW w:w="3224" w:type="dxa"/>
          </w:tcPr>
          <w:p w14:paraId="720D60E2" w14:textId="75AF7062" w:rsidR="00EC7B45" w:rsidRDefault="007A60EB" w:rsidP="00AD6F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  <w:r w:rsidR="00AD6F6D">
              <w:rPr>
                <w:lang w:eastAsia="en-US"/>
              </w:rPr>
              <w:t>eløb (mio.kr.)</w:t>
            </w:r>
          </w:p>
        </w:tc>
      </w:tr>
      <w:tr w:rsidR="00EC7B45" w14:paraId="491AE3F2" w14:textId="77777777" w:rsidTr="00EC7B45">
        <w:tc>
          <w:tcPr>
            <w:tcW w:w="3223" w:type="dxa"/>
          </w:tcPr>
          <w:p w14:paraId="7A5CE022" w14:textId="047BBBB6" w:rsidR="00EC7B45" w:rsidRDefault="00CA7237" w:rsidP="00AB3C3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="00EC7B45">
              <w:rPr>
                <w:lang w:eastAsia="en-US"/>
              </w:rPr>
              <w:t xml:space="preserve">Støttepersonale </w:t>
            </w:r>
          </w:p>
        </w:tc>
        <w:tc>
          <w:tcPr>
            <w:tcW w:w="3224" w:type="dxa"/>
          </w:tcPr>
          <w:p w14:paraId="580F7E52" w14:textId="7EE46A7D" w:rsidR="00EC7B45" w:rsidRDefault="00EC7B45" w:rsidP="00084352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60.000 x 928 </w:t>
            </w:r>
            <w:r w:rsidR="00AC0C49">
              <w:rPr>
                <w:lang w:eastAsia="en-US"/>
              </w:rPr>
              <w:t>kr.</w:t>
            </w:r>
          </w:p>
        </w:tc>
        <w:tc>
          <w:tcPr>
            <w:tcW w:w="3224" w:type="dxa"/>
          </w:tcPr>
          <w:p w14:paraId="656E074C" w14:textId="07819316" w:rsidR="00EC7B45" w:rsidRDefault="00EC7B45" w:rsidP="00AD6F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  <w:r w:rsidR="00AD6F6D">
              <w:rPr>
                <w:lang w:eastAsia="en-US"/>
              </w:rPr>
              <w:t>,7</w:t>
            </w:r>
          </w:p>
        </w:tc>
      </w:tr>
      <w:tr w:rsidR="00EC7B45" w14:paraId="264CFA02" w14:textId="77777777" w:rsidTr="00EC7B45">
        <w:tc>
          <w:tcPr>
            <w:tcW w:w="3223" w:type="dxa"/>
          </w:tcPr>
          <w:p w14:paraId="27A7A5FD" w14:textId="19DCDCAF" w:rsidR="00EC7B45" w:rsidRDefault="00CA7237" w:rsidP="00AB3C3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="00EC7B45">
              <w:rPr>
                <w:lang w:eastAsia="en-US"/>
              </w:rPr>
              <w:t>Sundhedstjek</w:t>
            </w:r>
          </w:p>
        </w:tc>
        <w:tc>
          <w:tcPr>
            <w:tcW w:w="3224" w:type="dxa"/>
          </w:tcPr>
          <w:p w14:paraId="6597A40A" w14:textId="0409C437" w:rsidR="00EC7B45" w:rsidRDefault="00EC7B45" w:rsidP="007A60E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60.000</w:t>
            </w:r>
            <w:r w:rsidR="00AD6F6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x 1.</w:t>
            </w:r>
            <w:r w:rsidR="007A60EB">
              <w:rPr>
                <w:lang w:eastAsia="en-US"/>
              </w:rPr>
              <w:t>400</w:t>
            </w:r>
            <w:r w:rsidR="00AC0C49">
              <w:rPr>
                <w:lang w:eastAsia="en-US"/>
              </w:rPr>
              <w:t xml:space="preserve"> kr.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224" w:type="dxa"/>
          </w:tcPr>
          <w:p w14:paraId="057CF844" w14:textId="4CB3CED8" w:rsidR="00EC7B45" w:rsidRDefault="007A60EB" w:rsidP="00AD6F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  <w:r w:rsidR="00AD6F6D">
              <w:rPr>
                <w:lang w:eastAsia="en-US"/>
              </w:rPr>
              <w:t>,0</w:t>
            </w:r>
            <w:r w:rsidR="00EC7B45">
              <w:rPr>
                <w:lang w:eastAsia="en-US"/>
              </w:rPr>
              <w:t xml:space="preserve"> </w:t>
            </w:r>
          </w:p>
        </w:tc>
      </w:tr>
      <w:tr w:rsidR="00EC7B45" w14:paraId="0B2C4C8E" w14:textId="77777777" w:rsidTr="00EC7B45">
        <w:tc>
          <w:tcPr>
            <w:tcW w:w="3223" w:type="dxa"/>
          </w:tcPr>
          <w:p w14:paraId="721FE621" w14:textId="3616B654" w:rsidR="00EC7B45" w:rsidRDefault="00CA7237" w:rsidP="00EC7B45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3. Bruttoudgift sundhedstjek</w:t>
            </w:r>
          </w:p>
        </w:tc>
        <w:tc>
          <w:tcPr>
            <w:tcW w:w="3224" w:type="dxa"/>
          </w:tcPr>
          <w:p w14:paraId="08834B5A" w14:textId="77777777" w:rsidR="00084352" w:rsidRDefault="00AD6F6D" w:rsidP="00AD6F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55.680.000</w:t>
            </w:r>
            <w:r w:rsidR="00AC0C49">
              <w:rPr>
                <w:lang w:eastAsia="en-US"/>
              </w:rPr>
              <w:t xml:space="preserve"> kr.</w:t>
            </w:r>
            <w:r>
              <w:rPr>
                <w:lang w:eastAsia="en-US"/>
              </w:rPr>
              <w:t xml:space="preserve"> + </w:t>
            </w:r>
          </w:p>
          <w:p w14:paraId="4CCC8429" w14:textId="17E94F0A" w:rsidR="00EC7B45" w:rsidRDefault="007A60EB" w:rsidP="00AD6F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  <w:r w:rsidR="00AD6F6D">
              <w:rPr>
                <w:lang w:eastAsia="en-US"/>
              </w:rPr>
              <w:t xml:space="preserve">.000.000 kr. </w:t>
            </w:r>
            <w:r w:rsidR="00CA7237">
              <w:rPr>
                <w:lang w:eastAsia="en-US"/>
              </w:rPr>
              <w:t xml:space="preserve"> </w:t>
            </w:r>
          </w:p>
        </w:tc>
        <w:tc>
          <w:tcPr>
            <w:tcW w:w="3224" w:type="dxa"/>
          </w:tcPr>
          <w:p w14:paraId="4D1203BE" w14:textId="77777777" w:rsidR="00AC0C49" w:rsidRDefault="00AC0C49" w:rsidP="00AD6F6D">
            <w:pPr>
              <w:jc w:val="right"/>
              <w:rPr>
                <w:lang w:eastAsia="en-US"/>
              </w:rPr>
            </w:pPr>
          </w:p>
          <w:p w14:paraId="5CF7029E" w14:textId="54A93784" w:rsidR="00EC7B45" w:rsidRDefault="00AD6F6D" w:rsidP="007A60E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A60EB">
              <w:rPr>
                <w:lang w:eastAsia="en-US"/>
              </w:rPr>
              <w:t>39</w:t>
            </w:r>
            <w:r>
              <w:rPr>
                <w:lang w:eastAsia="en-US"/>
              </w:rPr>
              <w:t>,7</w:t>
            </w:r>
            <w:r w:rsidR="00CA7237">
              <w:rPr>
                <w:lang w:eastAsia="en-US"/>
              </w:rPr>
              <w:t xml:space="preserve"> </w:t>
            </w:r>
          </w:p>
        </w:tc>
      </w:tr>
      <w:tr w:rsidR="00EC7B45" w14:paraId="74B42537" w14:textId="77777777" w:rsidTr="00EC7B45">
        <w:tc>
          <w:tcPr>
            <w:tcW w:w="3223" w:type="dxa"/>
          </w:tcPr>
          <w:p w14:paraId="3D819F4E" w14:textId="2A19C31A" w:rsidR="00EC7B45" w:rsidRDefault="00CA7237" w:rsidP="00CA7237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4. Korrektion for deltagelsesgrad</w:t>
            </w:r>
          </w:p>
        </w:tc>
        <w:tc>
          <w:tcPr>
            <w:tcW w:w="3224" w:type="dxa"/>
          </w:tcPr>
          <w:p w14:paraId="284F6A75" w14:textId="77777777" w:rsidR="00AD6F6D" w:rsidRDefault="00AD6F6D" w:rsidP="00CA7237">
            <w:pPr>
              <w:jc w:val="right"/>
              <w:rPr>
                <w:lang w:eastAsia="en-US"/>
              </w:rPr>
            </w:pPr>
          </w:p>
          <w:p w14:paraId="30C94442" w14:textId="081C2F3D" w:rsidR="00EC7B45" w:rsidRDefault="00CA7237" w:rsidP="007A60E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A60EB">
              <w:rPr>
                <w:lang w:eastAsia="en-US"/>
              </w:rPr>
              <w:t>39</w:t>
            </w:r>
            <w:r>
              <w:rPr>
                <w:lang w:eastAsia="en-US"/>
              </w:rPr>
              <w:t>.680.000</w:t>
            </w:r>
            <w:r w:rsidR="00AD6F6D">
              <w:rPr>
                <w:lang w:eastAsia="en-US"/>
              </w:rPr>
              <w:t xml:space="preserve"> kr.</w:t>
            </w:r>
            <w:r>
              <w:rPr>
                <w:lang w:eastAsia="en-US"/>
              </w:rPr>
              <w:t xml:space="preserve"> x </w:t>
            </w:r>
            <w:r w:rsidR="00730405">
              <w:rPr>
                <w:lang w:eastAsia="en-US"/>
              </w:rPr>
              <w:t>85</w:t>
            </w:r>
            <w:r>
              <w:rPr>
                <w:lang w:eastAsia="en-US"/>
              </w:rPr>
              <w:t>/100</w:t>
            </w:r>
          </w:p>
        </w:tc>
        <w:tc>
          <w:tcPr>
            <w:tcW w:w="3224" w:type="dxa"/>
          </w:tcPr>
          <w:p w14:paraId="09B3C58D" w14:textId="77777777" w:rsidR="00AD6F6D" w:rsidRDefault="00AD6F6D" w:rsidP="00AD6F6D">
            <w:pPr>
              <w:jc w:val="right"/>
              <w:rPr>
                <w:lang w:eastAsia="en-US"/>
              </w:rPr>
            </w:pPr>
          </w:p>
          <w:p w14:paraId="344C7869" w14:textId="6DCF6103" w:rsidR="00EC7B45" w:rsidRDefault="007A60EB" w:rsidP="00AD6F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118,7</w:t>
            </w:r>
          </w:p>
        </w:tc>
      </w:tr>
      <w:tr w:rsidR="00EC7B45" w14:paraId="2A323927" w14:textId="77777777" w:rsidTr="00EC7B45">
        <w:tc>
          <w:tcPr>
            <w:tcW w:w="3223" w:type="dxa"/>
          </w:tcPr>
          <w:p w14:paraId="3E049D5A" w14:textId="11932126" w:rsidR="00EC7B45" w:rsidRDefault="00CA7237" w:rsidP="00AD6F6D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5. Fradrag for igangværende sundhedstjek-rutiner</w:t>
            </w:r>
          </w:p>
        </w:tc>
        <w:tc>
          <w:tcPr>
            <w:tcW w:w="3224" w:type="dxa"/>
          </w:tcPr>
          <w:p w14:paraId="00F0934C" w14:textId="77777777" w:rsidR="00AD6F6D" w:rsidRDefault="00AD6F6D" w:rsidP="00AD6F6D">
            <w:pPr>
              <w:jc w:val="right"/>
              <w:rPr>
                <w:lang w:eastAsia="en-US"/>
              </w:rPr>
            </w:pPr>
          </w:p>
          <w:p w14:paraId="52154E9A" w14:textId="79564940" w:rsidR="00EC7B45" w:rsidRDefault="00CA7237" w:rsidP="007A60E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A60EB">
              <w:rPr>
                <w:lang w:eastAsia="en-US"/>
              </w:rPr>
              <w:t>18.728.000</w:t>
            </w:r>
            <w:r w:rsidR="00AD6F6D">
              <w:rPr>
                <w:lang w:eastAsia="en-US"/>
              </w:rPr>
              <w:t xml:space="preserve"> kr. </w:t>
            </w:r>
            <w:r>
              <w:rPr>
                <w:lang w:eastAsia="en-US"/>
              </w:rPr>
              <w:t xml:space="preserve">– 20.000.000 </w:t>
            </w:r>
            <w:r w:rsidR="00AD6F6D">
              <w:rPr>
                <w:lang w:eastAsia="en-US"/>
              </w:rPr>
              <w:t xml:space="preserve">kr. </w:t>
            </w:r>
          </w:p>
        </w:tc>
        <w:tc>
          <w:tcPr>
            <w:tcW w:w="3224" w:type="dxa"/>
          </w:tcPr>
          <w:p w14:paraId="136F937A" w14:textId="77777777" w:rsidR="00AD6F6D" w:rsidRDefault="00AD6F6D" w:rsidP="00CA7237">
            <w:pPr>
              <w:jc w:val="right"/>
              <w:rPr>
                <w:lang w:eastAsia="en-US"/>
              </w:rPr>
            </w:pPr>
          </w:p>
          <w:p w14:paraId="167539AC" w14:textId="458EC056" w:rsidR="00EC7B45" w:rsidRDefault="007A60EB" w:rsidP="00AD6F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98,7</w:t>
            </w:r>
            <w:r w:rsidR="00CA7237">
              <w:rPr>
                <w:lang w:eastAsia="en-US"/>
              </w:rPr>
              <w:t xml:space="preserve"> </w:t>
            </w:r>
          </w:p>
        </w:tc>
      </w:tr>
      <w:tr w:rsidR="00EC7B45" w14:paraId="336409B8" w14:textId="77777777" w:rsidTr="00EC7B45">
        <w:tc>
          <w:tcPr>
            <w:tcW w:w="3223" w:type="dxa"/>
          </w:tcPr>
          <w:p w14:paraId="63C75373" w14:textId="1D40B064" w:rsidR="00EC7B45" w:rsidRPr="00AD6F6D" w:rsidRDefault="00CA7237" w:rsidP="00AD6F6D">
            <w:pPr>
              <w:jc w:val="left"/>
              <w:rPr>
                <w:b/>
                <w:lang w:eastAsia="en-US"/>
              </w:rPr>
            </w:pPr>
            <w:r w:rsidRPr="00AD6F6D">
              <w:rPr>
                <w:b/>
                <w:lang w:eastAsia="en-US"/>
              </w:rPr>
              <w:t xml:space="preserve">6. Nettoudgift sundhedstjek </w:t>
            </w:r>
          </w:p>
        </w:tc>
        <w:tc>
          <w:tcPr>
            <w:tcW w:w="3224" w:type="dxa"/>
          </w:tcPr>
          <w:p w14:paraId="70D94B26" w14:textId="77777777" w:rsidR="00EC7B45" w:rsidRPr="00AD6F6D" w:rsidRDefault="00EC7B45" w:rsidP="00AB3C3D">
            <w:pPr>
              <w:rPr>
                <w:b/>
                <w:lang w:eastAsia="en-US"/>
              </w:rPr>
            </w:pPr>
          </w:p>
        </w:tc>
        <w:tc>
          <w:tcPr>
            <w:tcW w:w="3224" w:type="dxa"/>
          </w:tcPr>
          <w:p w14:paraId="61479D6F" w14:textId="77777777" w:rsidR="00AD6F6D" w:rsidRDefault="00AD6F6D" w:rsidP="00CA7237">
            <w:pPr>
              <w:jc w:val="right"/>
              <w:rPr>
                <w:b/>
                <w:lang w:eastAsia="en-US"/>
              </w:rPr>
            </w:pPr>
          </w:p>
          <w:p w14:paraId="5B24F1FB" w14:textId="37689858" w:rsidR="00EC7B45" w:rsidRPr="00AD6F6D" w:rsidRDefault="007A60EB" w:rsidP="00AD6F6D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98,7</w:t>
            </w:r>
            <w:r w:rsidR="00CA7237" w:rsidRPr="00AD6F6D">
              <w:rPr>
                <w:b/>
                <w:lang w:eastAsia="en-US"/>
              </w:rPr>
              <w:t xml:space="preserve"> </w:t>
            </w:r>
          </w:p>
        </w:tc>
      </w:tr>
    </w:tbl>
    <w:p w14:paraId="2F4449DF" w14:textId="77777777" w:rsidR="001159DE" w:rsidRDefault="001159DE" w:rsidP="00AB3C3D">
      <w:pPr>
        <w:rPr>
          <w:lang w:eastAsia="en-US"/>
        </w:rPr>
      </w:pPr>
    </w:p>
    <w:p w14:paraId="3BDB72E6" w14:textId="6C8A3D16" w:rsidR="001159DE" w:rsidRDefault="00764E40" w:rsidP="00AB3C3D">
      <w:pPr>
        <w:rPr>
          <w:lang w:eastAsia="en-US"/>
        </w:rPr>
      </w:pPr>
      <w:r>
        <w:rPr>
          <w:lang w:eastAsia="en-US"/>
        </w:rPr>
        <w:t xml:space="preserve">Udgifterne falder dels på sundhedsområdet </w:t>
      </w:r>
      <w:r w:rsidR="003A2A9D">
        <w:rPr>
          <w:lang w:eastAsia="en-US"/>
        </w:rPr>
        <w:t>under regionerne (sundhedstjek</w:t>
      </w:r>
      <w:r w:rsidR="00126958">
        <w:rPr>
          <w:lang w:eastAsia="en-US"/>
        </w:rPr>
        <w:t xml:space="preserve"> i almen praksis</w:t>
      </w:r>
      <w:r w:rsidR="003A2A9D">
        <w:rPr>
          <w:lang w:eastAsia="en-US"/>
        </w:rPr>
        <w:t>), dels på socialområdet under kommuner</w:t>
      </w:r>
      <w:r w:rsidR="00126958">
        <w:rPr>
          <w:lang w:eastAsia="en-US"/>
        </w:rPr>
        <w:t>ne</w:t>
      </w:r>
      <w:r w:rsidR="003A2A9D">
        <w:rPr>
          <w:lang w:eastAsia="en-US"/>
        </w:rPr>
        <w:t xml:space="preserve"> og </w:t>
      </w:r>
      <w:r w:rsidR="00126958">
        <w:rPr>
          <w:lang w:eastAsia="en-US"/>
        </w:rPr>
        <w:t xml:space="preserve">i et vist omfang regionerne </w:t>
      </w:r>
      <w:r w:rsidR="003A2A9D">
        <w:rPr>
          <w:lang w:eastAsia="en-US"/>
        </w:rPr>
        <w:t>(støttepersonale).</w:t>
      </w:r>
      <w:r w:rsidR="00126958">
        <w:rPr>
          <w:rStyle w:val="Fodnotehenvisning"/>
          <w:lang w:eastAsia="en-US"/>
        </w:rPr>
        <w:footnoteReference w:id="8"/>
      </w:r>
    </w:p>
    <w:sectPr w:rsidR="001159DE" w:rsidSect="00FF6F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7" w:h="16840" w:code="9"/>
      <w:pgMar w:top="1134" w:right="1134" w:bottom="1134" w:left="1242" w:header="568" w:footer="851" w:gutter="0"/>
      <w:paperSrc w:first="15" w:other="15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A64DA" w14:textId="77777777" w:rsidR="00870336" w:rsidRDefault="001159DE">
      <w:r>
        <w:separator/>
      </w:r>
    </w:p>
  </w:endnote>
  <w:endnote w:type="continuationSeparator" w:id="0">
    <w:p w14:paraId="7EDA64DC" w14:textId="77777777" w:rsidR="00870336" w:rsidRDefault="0011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A64CF" w14:textId="77777777" w:rsidR="00F076A9" w:rsidRDefault="001159DE" w:rsidP="00CE7183">
    <w:pPr>
      <w:pStyle w:val="Sidefod"/>
      <w:framePr w:wrap="around" w:vAnchor="text" w:hAnchor="margin" w:xAlign="center" w:y="1"/>
      <w:rPr>
        <w:rStyle w:val="Sidetal"/>
        <w:rFonts w:eastAsiaTheme="majorEastAsia"/>
      </w:rPr>
    </w:pPr>
    <w:r>
      <w:rPr>
        <w:rStyle w:val="Sidetal"/>
        <w:rFonts w:eastAsiaTheme="majorEastAsia"/>
      </w:rPr>
      <w:fldChar w:fldCharType="begin"/>
    </w:r>
    <w:r>
      <w:rPr>
        <w:rStyle w:val="Sidetal"/>
        <w:rFonts w:eastAsiaTheme="majorEastAsia"/>
      </w:rPr>
      <w:instrText xml:space="preserve">PAGE  </w:instrText>
    </w:r>
    <w:r>
      <w:rPr>
        <w:rStyle w:val="Sidetal"/>
        <w:rFonts w:eastAsiaTheme="majorEastAsia"/>
      </w:rPr>
      <w:fldChar w:fldCharType="end"/>
    </w:r>
  </w:p>
  <w:p w14:paraId="7EDA64D0" w14:textId="77777777" w:rsidR="00F076A9" w:rsidRDefault="00F076A9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A64D1" w14:textId="77777777" w:rsidR="00F076A9" w:rsidRDefault="001159DE" w:rsidP="00CE7183">
    <w:pPr>
      <w:pStyle w:val="Sidefod"/>
      <w:framePr w:wrap="around" w:vAnchor="text" w:hAnchor="margin" w:xAlign="center" w:y="1"/>
      <w:rPr>
        <w:rStyle w:val="Sidetal"/>
        <w:rFonts w:eastAsiaTheme="majorEastAsia"/>
      </w:rPr>
    </w:pPr>
    <w:r>
      <w:rPr>
        <w:rStyle w:val="Sidetal"/>
        <w:rFonts w:eastAsiaTheme="majorEastAsia"/>
      </w:rPr>
      <w:fldChar w:fldCharType="begin"/>
    </w:r>
    <w:r>
      <w:rPr>
        <w:rStyle w:val="Sidetal"/>
        <w:rFonts w:eastAsiaTheme="majorEastAsia"/>
      </w:rPr>
      <w:instrText xml:space="preserve">PAGE  </w:instrText>
    </w:r>
    <w:r>
      <w:rPr>
        <w:rStyle w:val="Sidetal"/>
        <w:rFonts w:eastAsiaTheme="majorEastAsia"/>
      </w:rPr>
      <w:fldChar w:fldCharType="separate"/>
    </w:r>
    <w:r w:rsidR="00492B50">
      <w:rPr>
        <w:rStyle w:val="Sidetal"/>
        <w:rFonts w:eastAsiaTheme="majorEastAsia"/>
        <w:noProof/>
      </w:rPr>
      <w:t>4</w:t>
    </w:r>
    <w:r>
      <w:rPr>
        <w:rStyle w:val="Sidetal"/>
        <w:rFonts w:eastAsiaTheme="majorEastAsia"/>
      </w:rPr>
      <w:fldChar w:fldCharType="end"/>
    </w:r>
  </w:p>
  <w:p w14:paraId="7EDA64D2" w14:textId="77777777" w:rsidR="00F076A9" w:rsidRDefault="00F076A9">
    <w:pPr>
      <w:pStyle w:val="Sidefod"/>
      <w:framePr w:wrap="around" w:vAnchor="text" w:hAnchor="margin" w:xAlign="right" w:y="1"/>
      <w:rPr>
        <w:rStyle w:val="Sidetal"/>
        <w:rFonts w:eastAsiaTheme="majorEastAsia"/>
      </w:rPr>
    </w:pPr>
  </w:p>
  <w:p w14:paraId="7EDA64D3" w14:textId="77777777" w:rsidR="00F076A9" w:rsidRDefault="00F076A9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A64D6" w14:textId="77777777" w:rsidR="00870336" w:rsidRDefault="001159DE">
      <w:r>
        <w:separator/>
      </w:r>
    </w:p>
  </w:footnote>
  <w:footnote w:type="continuationSeparator" w:id="0">
    <w:p w14:paraId="7EDA64D8" w14:textId="77777777" w:rsidR="00870336" w:rsidRDefault="001159DE">
      <w:r>
        <w:continuationSeparator/>
      </w:r>
    </w:p>
  </w:footnote>
  <w:footnote w:id="1">
    <w:p w14:paraId="25847DCC" w14:textId="76427CD8" w:rsidR="00AD2595" w:rsidRDefault="00AD2595">
      <w:pPr>
        <w:pStyle w:val="Fodnotetekst"/>
      </w:pPr>
      <w:r>
        <w:rPr>
          <w:rStyle w:val="Fodnotehenvisning"/>
        </w:rPr>
        <w:footnoteRef/>
      </w:r>
      <w:r>
        <w:t xml:space="preserve">  </w:t>
      </w:r>
      <w:hyperlink r:id="rId1" w:history="1">
        <w:r w:rsidRPr="00A61F7B">
          <w:rPr>
            <w:rStyle w:val="Hyperlink"/>
          </w:rPr>
          <w:t>https://socialministeriet.dk/publikationer/2018/dec/socialpolitisk-redegoerelse-2018/</w:t>
        </w:r>
      </w:hyperlink>
      <w:r>
        <w:t xml:space="preserve">  (kap. 9)</w:t>
      </w:r>
    </w:p>
  </w:footnote>
  <w:footnote w:id="2">
    <w:p w14:paraId="3C4F4B8D" w14:textId="3C687806" w:rsidR="001C07B3" w:rsidRDefault="001C07B3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485729">
        <w:t>Tal for månedsløn er trukket fra</w:t>
      </w:r>
      <w:r>
        <w:t xml:space="preserve"> KRL (Kommunernes og Regionernes Løndatakontor) </w:t>
      </w:r>
      <w:hyperlink r:id="rId2" w:anchor="/main" w:history="1">
        <w:r w:rsidRPr="007D272B">
          <w:rPr>
            <w:rStyle w:val="Hyperlink"/>
          </w:rPr>
          <w:t>https://www.krl.dk/#/main</w:t>
        </w:r>
      </w:hyperlink>
    </w:p>
    <w:p w14:paraId="5A7F8780" w14:textId="77777777" w:rsidR="001C07B3" w:rsidRDefault="001C07B3">
      <w:pPr>
        <w:pStyle w:val="Fodnotetekst"/>
      </w:pPr>
    </w:p>
  </w:footnote>
  <w:footnote w:id="3">
    <w:p w14:paraId="0F864D95" w14:textId="7A1F45C8" w:rsidR="0084529C" w:rsidRDefault="0084529C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hyperlink r:id="rId3" w:history="1">
        <w:r w:rsidRPr="007D272B">
          <w:rPr>
            <w:rStyle w:val="Hyperlink"/>
          </w:rPr>
          <w:t>https://www.laeger.dk/lokal-aftale-vedroerende-honorering-af-praktiserende-laeger-der-deltager-i-projekt-stoerre-lighed-i</w:t>
        </w:r>
      </w:hyperlink>
    </w:p>
    <w:p w14:paraId="30E39B78" w14:textId="77777777" w:rsidR="0084529C" w:rsidRDefault="0084529C">
      <w:pPr>
        <w:pStyle w:val="Fodnotetekst"/>
      </w:pPr>
    </w:p>
  </w:footnote>
  <w:footnote w:id="4">
    <w:p w14:paraId="3987A2B7" w14:textId="77777777" w:rsidR="00285D6E" w:rsidRDefault="00285D6E" w:rsidP="00285D6E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hyperlink r:id="rId4" w:history="1">
        <w:r w:rsidRPr="007D272B">
          <w:rPr>
            <w:rStyle w:val="Hyperlink"/>
          </w:rPr>
          <w:t>https://www.laeger.dk/honorering-af-praktiserende-laeger-for-somatisk-sundhedstjek-i-alleroed-egedal-og-kbh-kommune</w:t>
        </w:r>
      </w:hyperlink>
    </w:p>
    <w:p w14:paraId="237A0E90" w14:textId="77777777" w:rsidR="00285D6E" w:rsidRDefault="00285D6E" w:rsidP="00285D6E">
      <w:pPr>
        <w:pStyle w:val="Fodnotetekst"/>
      </w:pPr>
    </w:p>
  </w:footnote>
  <w:footnote w:id="5">
    <w:p w14:paraId="565F63EE" w14:textId="3AC24482" w:rsidR="00E3183E" w:rsidRDefault="00E3183E" w:rsidP="00E3183E">
      <w:pPr>
        <w:pStyle w:val="Fodnotetekst"/>
        <w:jc w:val="left"/>
      </w:pPr>
      <w:r>
        <w:rPr>
          <w:rStyle w:val="Fodnotehenvisning"/>
        </w:rPr>
        <w:footnoteRef/>
      </w:r>
      <w:r>
        <w:t xml:space="preserve"> Ydelse 2101 under </w:t>
      </w:r>
      <w:r w:rsidRPr="00E3183E">
        <w:t>§ 51</w:t>
      </w:r>
      <w:r>
        <w:t>T</w:t>
      </w:r>
      <w:r w:rsidRPr="00E3183E">
        <w:t>illægsydelse</w:t>
      </w:r>
      <w:r>
        <w:t xml:space="preserve"> </w:t>
      </w:r>
      <w:hyperlink r:id="rId5" w:history="1">
        <w:r w:rsidRPr="007D272B">
          <w:rPr>
            <w:rStyle w:val="Hyperlink"/>
          </w:rPr>
          <w:t>https://www.laeger.dk/sites/default/files/overenskomst_om_almen_praksis_ok18_endelig_udgave.pdf</w:t>
        </w:r>
      </w:hyperlink>
    </w:p>
    <w:p w14:paraId="2D46591F" w14:textId="77777777" w:rsidR="00E3183E" w:rsidRDefault="00E3183E">
      <w:pPr>
        <w:pStyle w:val="Fodnotetekst"/>
      </w:pPr>
    </w:p>
  </w:footnote>
  <w:footnote w:id="6">
    <w:p w14:paraId="62819C39" w14:textId="754ECF0D" w:rsidR="007F27DA" w:rsidRDefault="007F27DA" w:rsidP="007F27DA">
      <w:pPr>
        <w:pStyle w:val="Fodnotetekst"/>
        <w:jc w:val="left"/>
      </w:pPr>
      <w:r>
        <w:rPr>
          <w:rStyle w:val="Fodnotehenvisning"/>
        </w:rPr>
        <w:footnoteRef/>
      </w:r>
      <w:r>
        <w:t xml:space="preserve"> </w:t>
      </w:r>
      <w:r w:rsidR="00E9043C">
        <w:t xml:space="preserve">Om Tangkær – se note 7. </w:t>
      </w:r>
      <w:r>
        <w:t xml:space="preserve">Se mere om Løgumgård her: </w:t>
      </w:r>
      <w:hyperlink r:id="rId6" w:history="1">
        <w:r w:rsidRPr="00AB5CA8">
          <w:rPr>
            <w:rStyle w:val="Hyperlink"/>
          </w:rPr>
          <w:t>https://www.jv.dk/toender/Succes-med-at-spotte-sygdom-hos-handicappede/artikel/2420159</w:t>
        </w:r>
      </w:hyperlink>
      <w:r w:rsidR="00E9043C">
        <w:rPr>
          <w:rStyle w:val="Hyperlink"/>
        </w:rPr>
        <w:t xml:space="preserve">      </w:t>
      </w:r>
    </w:p>
    <w:p w14:paraId="78F7C775" w14:textId="77777777" w:rsidR="007F27DA" w:rsidRDefault="007F27DA">
      <w:pPr>
        <w:pStyle w:val="Fodnotetekst"/>
      </w:pPr>
    </w:p>
  </w:footnote>
  <w:footnote w:id="7">
    <w:p w14:paraId="677322D7" w14:textId="725783BF" w:rsidR="008F62E0" w:rsidRDefault="008F62E0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6F2390">
        <w:t>Se ”Pixibog om sundhedstjek</w:t>
      </w:r>
      <w:proofErr w:type="gramStart"/>
      <w:r w:rsidR="006F2390">
        <w:t>…..</w:t>
      </w:r>
      <w:proofErr w:type="gramEnd"/>
      <w:r w:rsidR="006F2390">
        <w:t xml:space="preserve">”, s. 45-48 </w:t>
      </w:r>
      <w:hyperlink r:id="rId7" w:history="1">
        <w:r w:rsidR="006F2390" w:rsidRPr="007D272B">
          <w:rPr>
            <w:rStyle w:val="Hyperlink"/>
          </w:rPr>
          <w:t>http://www.svo.rm.dk/botilbud/tangkar---socialpsykiatri/aktiviteter-og-tilbud/sundhedstjek/</w:t>
        </w:r>
      </w:hyperlink>
    </w:p>
    <w:p w14:paraId="1CADD47E" w14:textId="77777777" w:rsidR="006F2390" w:rsidRDefault="006F2390">
      <w:pPr>
        <w:pStyle w:val="Fodnotetekst"/>
      </w:pPr>
    </w:p>
  </w:footnote>
  <w:footnote w:id="8">
    <w:p w14:paraId="1AC73F5C" w14:textId="6BC18A2A" w:rsidR="00126958" w:rsidRDefault="00126958">
      <w:pPr>
        <w:pStyle w:val="Fodnotetekst"/>
      </w:pPr>
      <w:r>
        <w:rPr>
          <w:rStyle w:val="Fodnotehenvisning"/>
        </w:rPr>
        <w:footnoteRef/>
      </w:r>
      <w:r>
        <w:t xml:space="preserve"> Regionerne har i dag en række specialiserede tilbud, herunder botilbud, under sig, som kommunerne ikke har overtaget, bl.a. bostedet Tangkær.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A64CC" w14:textId="77777777" w:rsidR="00F076A9" w:rsidRDefault="001159DE">
    <w:pPr>
      <w:pStyle w:val="Sidehoved"/>
      <w:framePr w:wrap="around" w:vAnchor="text" w:hAnchor="margin" w:xAlign="right" w:y="1"/>
      <w:rPr>
        <w:rStyle w:val="Sidetal"/>
        <w:rFonts w:eastAsiaTheme="majorEastAsia"/>
      </w:rPr>
    </w:pPr>
    <w:r>
      <w:rPr>
        <w:rStyle w:val="Sidetal"/>
        <w:rFonts w:eastAsiaTheme="majorEastAsia"/>
      </w:rPr>
      <w:fldChar w:fldCharType="begin"/>
    </w:r>
    <w:r>
      <w:rPr>
        <w:rStyle w:val="Sidetal"/>
        <w:rFonts w:eastAsiaTheme="majorEastAsia"/>
      </w:rPr>
      <w:instrText xml:space="preserve">PAGE  </w:instrText>
    </w:r>
    <w:r>
      <w:rPr>
        <w:rStyle w:val="Sidetal"/>
        <w:rFonts w:eastAsiaTheme="majorEastAsia"/>
      </w:rPr>
      <w:fldChar w:fldCharType="end"/>
    </w:r>
  </w:p>
  <w:p w14:paraId="7EDA64CD" w14:textId="77777777" w:rsidR="00F076A9" w:rsidRDefault="00F076A9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A64CE" w14:textId="77777777" w:rsidR="00F076A9" w:rsidRDefault="00F076A9">
    <w:pPr>
      <w:pStyle w:val="Sidehoved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A64D4" w14:textId="77777777" w:rsidR="00F20012" w:rsidRDefault="001159DE">
    <w:pPr>
      <w:pStyle w:val="Sidehoved"/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EDA64D6" wp14:editId="7EDA64D7">
          <wp:simplePos x="0" y="0"/>
          <wp:positionH relativeFrom="column">
            <wp:posOffset>4928870</wp:posOffset>
          </wp:positionH>
          <wp:positionV relativeFrom="paragraph">
            <wp:posOffset>-7620</wp:posOffset>
          </wp:positionV>
          <wp:extent cx="1461600" cy="658800"/>
          <wp:effectExtent l="0" t="0" r="5715" b="825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326478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16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648E6"/>
    <w:multiLevelType w:val="hybridMultilevel"/>
    <w:tmpl w:val="B0E6E8AA"/>
    <w:lvl w:ilvl="0" w:tplc="EE5A80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B7"/>
    <w:rsid w:val="00084352"/>
    <w:rsid w:val="000A5095"/>
    <w:rsid w:val="000C3787"/>
    <w:rsid w:val="000C713A"/>
    <w:rsid w:val="001159DE"/>
    <w:rsid w:val="001219B7"/>
    <w:rsid w:val="00126958"/>
    <w:rsid w:val="001579A3"/>
    <w:rsid w:val="00170EA2"/>
    <w:rsid w:val="001851A3"/>
    <w:rsid w:val="001C07B3"/>
    <w:rsid w:val="001E4D9F"/>
    <w:rsid w:val="00224498"/>
    <w:rsid w:val="00285D6E"/>
    <w:rsid w:val="002E6939"/>
    <w:rsid w:val="00317898"/>
    <w:rsid w:val="00334485"/>
    <w:rsid w:val="003A2A9D"/>
    <w:rsid w:val="003B2186"/>
    <w:rsid w:val="003E1C63"/>
    <w:rsid w:val="00447417"/>
    <w:rsid w:val="00485729"/>
    <w:rsid w:val="00492B50"/>
    <w:rsid w:val="004D5F22"/>
    <w:rsid w:val="004D74BB"/>
    <w:rsid w:val="004F44E6"/>
    <w:rsid w:val="00551FFE"/>
    <w:rsid w:val="00591162"/>
    <w:rsid w:val="00642AE3"/>
    <w:rsid w:val="006476BC"/>
    <w:rsid w:val="00691099"/>
    <w:rsid w:val="006D1193"/>
    <w:rsid w:val="006E06F1"/>
    <w:rsid w:val="006F2390"/>
    <w:rsid w:val="00730405"/>
    <w:rsid w:val="00737EA3"/>
    <w:rsid w:val="00756FA5"/>
    <w:rsid w:val="00764E40"/>
    <w:rsid w:val="00783F21"/>
    <w:rsid w:val="00785AD6"/>
    <w:rsid w:val="007A60EB"/>
    <w:rsid w:val="007B1D09"/>
    <w:rsid w:val="007F27DA"/>
    <w:rsid w:val="007F531A"/>
    <w:rsid w:val="00837245"/>
    <w:rsid w:val="0084529C"/>
    <w:rsid w:val="0086356F"/>
    <w:rsid w:val="00870336"/>
    <w:rsid w:val="008733D7"/>
    <w:rsid w:val="0087545E"/>
    <w:rsid w:val="00893350"/>
    <w:rsid w:val="00893D40"/>
    <w:rsid w:val="008F0A6D"/>
    <w:rsid w:val="008F62E0"/>
    <w:rsid w:val="008F7286"/>
    <w:rsid w:val="00900480"/>
    <w:rsid w:val="0090614E"/>
    <w:rsid w:val="00910B09"/>
    <w:rsid w:val="0091390D"/>
    <w:rsid w:val="009B352A"/>
    <w:rsid w:val="009C7975"/>
    <w:rsid w:val="00AB3538"/>
    <w:rsid w:val="00AB3C3D"/>
    <w:rsid w:val="00AC0C49"/>
    <w:rsid w:val="00AD2595"/>
    <w:rsid w:val="00AD6F6D"/>
    <w:rsid w:val="00BC551E"/>
    <w:rsid w:val="00BC6FFA"/>
    <w:rsid w:val="00C4677C"/>
    <w:rsid w:val="00C66DF5"/>
    <w:rsid w:val="00CA7237"/>
    <w:rsid w:val="00CB5167"/>
    <w:rsid w:val="00CE7183"/>
    <w:rsid w:val="00D775DB"/>
    <w:rsid w:val="00DC39F3"/>
    <w:rsid w:val="00DC7306"/>
    <w:rsid w:val="00E3183E"/>
    <w:rsid w:val="00E31D37"/>
    <w:rsid w:val="00E56349"/>
    <w:rsid w:val="00E752EE"/>
    <w:rsid w:val="00E9043C"/>
    <w:rsid w:val="00EC7B45"/>
    <w:rsid w:val="00F076A9"/>
    <w:rsid w:val="00F20012"/>
    <w:rsid w:val="00F33623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6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4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224498"/>
    <w:pPr>
      <w:keepNext/>
      <w:keepLines/>
      <w:overflowPunct/>
      <w:autoSpaceDE/>
      <w:autoSpaceDN/>
      <w:adjustRightInd/>
      <w:spacing w:before="480" w:line="276" w:lineRule="auto"/>
      <w:jc w:val="left"/>
      <w:textAlignment w:val="auto"/>
      <w:outlineLvl w:val="0"/>
    </w:pPr>
    <w:rPr>
      <w:rFonts w:ascii="Arial" w:eastAsiaTheme="majorEastAsia" w:hAnsi="Arial" w:cstheme="majorBidi"/>
      <w:b/>
      <w:bCs/>
      <w:sz w:val="32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224498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1159DE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2"/>
    </w:pPr>
    <w:rPr>
      <w:rFonts w:eastAsiaTheme="majorEastAsia" w:cstheme="majorBidi"/>
      <w:b/>
      <w:bCs/>
      <w:i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2449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24498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159DE"/>
    <w:rPr>
      <w:rFonts w:ascii="Times New Roman" w:eastAsiaTheme="majorEastAsia" w:hAnsi="Times New Roman" w:cstheme="majorBidi"/>
      <w:b/>
      <w:bCs/>
      <w:i/>
      <w:sz w:val="26"/>
    </w:rPr>
  </w:style>
  <w:style w:type="paragraph" w:styleId="Sidefod">
    <w:name w:val="footer"/>
    <w:basedOn w:val="Normal"/>
    <w:link w:val="SidefodTegn"/>
    <w:rsid w:val="0083724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837245"/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styleId="Sidetal">
    <w:name w:val="page number"/>
    <w:basedOn w:val="Standardskrifttypeiafsnit"/>
    <w:rsid w:val="00837245"/>
  </w:style>
  <w:style w:type="paragraph" w:styleId="Sidehoved">
    <w:name w:val="header"/>
    <w:basedOn w:val="Normal"/>
    <w:link w:val="SidehovedTegn"/>
    <w:rsid w:val="0083724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37245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9B352A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1C07B3"/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C07B3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C07B3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1C07B3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EC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677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677C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4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224498"/>
    <w:pPr>
      <w:keepNext/>
      <w:keepLines/>
      <w:overflowPunct/>
      <w:autoSpaceDE/>
      <w:autoSpaceDN/>
      <w:adjustRightInd/>
      <w:spacing w:before="480" w:line="276" w:lineRule="auto"/>
      <w:jc w:val="left"/>
      <w:textAlignment w:val="auto"/>
      <w:outlineLvl w:val="0"/>
    </w:pPr>
    <w:rPr>
      <w:rFonts w:ascii="Arial" w:eastAsiaTheme="majorEastAsia" w:hAnsi="Arial" w:cstheme="majorBidi"/>
      <w:b/>
      <w:bCs/>
      <w:sz w:val="32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224498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1159DE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2"/>
    </w:pPr>
    <w:rPr>
      <w:rFonts w:eastAsiaTheme="majorEastAsia" w:cstheme="majorBidi"/>
      <w:b/>
      <w:bCs/>
      <w:i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2449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24498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159DE"/>
    <w:rPr>
      <w:rFonts w:ascii="Times New Roman" w:eastAsiaTheme="majorEastAsia" w:hAnsi="Times New Roman" w:cstheme="majorBidi"/>
      <w:b/>
      <w:bCs/>
      <w:i/>
      <w:sz w:val="26"/>
    </w:rPr>
  </w:style>
  <w:style w:type="paragraph" w:styleId="Sidefod">
    <w:name w:val="footer"/>
    <w:basedOn w:val="Normal"/>
    <w:link w:val="SidefodTegn"/>
    <w:rsid w:val="0083724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837245"/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styleId="Sidetal">
    <w:name w:val="page number"/>
    <w:basedOn w:val="Standardskrifttypeiafsnit"/>
    <w:rsid w:val="00837245"/>
  </w:style>
  <w:style w:type="paragraph" w:styleId="Sidehoved">
    <w:name w:val="header"/>
    <w:basedOn w:val="Normal"/>
    <w:link w:val="SidehovedTegn"/>
    <w:rsid w:val="0083724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37245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9B352A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1C07B3"/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C07B3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C07B3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1C07B3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EC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677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677C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aeger.dk/lokal-aftale-vedroerende-honorering-af-praktiserende-laeger-der-deltager-i-projekt-stoerre-lighed-i" TargetMode="External"/><Relationship Id="rId7" Type="http://schemas.openxmlformats.org/officeDocument/2006/relationships/hyperlink" Target="http://www.svo.rm.dk/botilbud/tangkar---socialpsykiatri/aktiviteter-og-tilbud/sundhedstjek/" TargetMode="External"/><Relationship Id="rId2" Type="http://schemas.openxmlformats.org/officeDocument/2006/relationships/hyperlink" Target="https://www.krl.dk/" TargetMode="External"/><Relationship Id="rId1" Type="http://schemas.openxmlformats.org/officeDocument/2006/relationships/hyperlink" Target="https://socialministeriet.dk/publikationer/2018/dec/socialpolitisk-redegoerelse-2018/" TargetMode="External"/><Relationship Id="rId6" Type="http://schemas.openxmlformats.org/officeDocument/2006/relationships/hyperlink" Target="https://www.jv.dk/toender/Succes-med-at-spotte-sygdom-hos-handicappede/artikel/2420159" TargetMode="External"/><Relationship Id="rId5" Type="http://schemas.openxmlformats.org/officeDocument/2006/relationships/hyperlink" Target="https://www.laeger.dk/sites/default/files/overenskomst_om_almen_praksis_ok18_endelig_udgave.pdf" TargetMode="External"/><Relationship Id="rId4" Type="http://schemas.openxmlformats.org/officeDocument/2006/relationships/hyperlink" Target="https://www.laeger.dk/honorering-af-praktiserende-laeger-for-somatisk-sundhedstjek-i-alleroed-egedal-og-kbh-kommun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dh-teamshare\Templates\nota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ID xmlns="181e6edb-f8a7-4e25-8cbd-c1843e47ac00" xsi:nil="true"/>
    <TSTitle xmlns="181e6edb-f8a7-4e25-8cbd-c1843e47ac00" xsi:nil="true"/>
    <TSCreatedBy xmlns="181e6edb-f8a7-4e25-8cbd-c1843e47ac00" xsi:nil="true"/>
    <TSStatus xmlns="181e6edb-f8a7-4e25-8cbd-c1843e47ac00" xsi:nil="true"/>
    <TeamShareMetaData xmlns="181e6edb-f8a7-4e25-8cbd-c1843e47ac00" xsi:nil="true"/>
    <TSPhaseName xmlns="181e6edb-f8a7-4e25-8cbd-c1843e47ac00" xsi:nil="true"/>
    <TSDescription xmlns="181e6edb-f8a7-4e25-8cbd-c1843e47ac00" xsi:nil="true"/>
    <TSKeywords xmlns="181e6edb-f8a7-4e25-8cbd-c1843e47ac00" xsi:nil="true"/>
    <TSType xmlns="181e6edb-f8a7-4e25-8cbd-c1843e47ac00" xsi:nil="true"/>
    <TSMetaData xmlns="181e6edb-f8a7-4e25-8cbd-c1843e47ac00" xsi:nil="true"/>
    <TSSender xmlns="181e6edb-f8a7-4e25-8cbd-c1843e47ac00" xsi:nil="true"/>
    <TSOwner xmlns="181e6edb-f8a7-4e25-8cbd-c1843e47ac00" xsi:nil="true"/>
    <TSUpdatedBy xmlns="181e6edb-f8a7-4e25-8cbd-c1843e47ac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46D1DF0C485549B353D855A7C041B5" ma:contentTypeVersion="13" ma:contentTypeDescription="Create a new document." ma:contentTypeScope="" ma:versionID="239960cb20f1b631896d5cc1fa0dd9d5">
  <xsd:schema xmlns:xsd="http://www.w3.org/2001/XMLSchema" xmlns:xs="http://www.w3.org/2001/XMLSchema" xmlns:p="http://schemas.microsoft.com/office/2006/metadata/properties" xmlns:ns2="181e6edb-f8a7-4e25-8cbd-c1843e47ac00" targetNamespace="http://schemas.microsoft.com/office/2006/metadata/properties" ma:root="true" ma:fieldsID="e7e16253acc10e90e207fbe995adabf1" ns2:_="">
    <xsd:import namespace="181e6edb-f8a7-4e25-8cbd-c1843e47ac00"/>
    <xsd:element name="properties">
      <xsd:complexType>
        <xsd:sequence>
          <xsd:element name="documentManagement">
            <xsd:complexType>
              <xsd:all>
                <xsd:element ref="ns2:TeamShareMetaData" minOccurs="0"/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e6edb-f8a7-4e25-8cbd-c1843e47ac00" elementFormDefault="qualified">
    <xsd:import namespace="http://schemas.microsoft.com/office/2006/documentManagement/types"/>
    <xsd:import namespace="http://schemas.microsoft.com/office/infopath/2007/PartnerControls"/>
    <xsd:element name="TeamShareMetaData" ma:index="8" nillable="true" ma:displayName="TeamShareMetaData" ma:description="This field contains document metadata in XML format from TeamShare" ma:internalName="TeamShareMetaData">
      <xsd:simpleType>
        <xsd:restriction base="dms:Note">
          <xsd:maxLength value="255"/>
        </xsd:restriction>
      </xsd:simpleType>
    </xsd:element>
    <xsd:element name="TSID" ma:index="9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10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1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2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3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4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5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6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7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8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9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20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7CAF9-7DAE-43F7-BFEF-010CBA22DF2E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181e6edb-f8a7-4e25-8cbd-c1843e47ac0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7BFD87-9066-49E7-A6CB-E27FCDD7B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e6edb-f8a7-4e25-8cbd-c1843e47a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7C0CBD-1D99-49CA-B366-777F6E428A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852B01-E4EF-4961-A8E9-F99D7C4A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0</TotalTime>
  <Pages>4</Pages>
  <Words>1020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Handicaporganisationer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 Wied - DH</dc:creator>
  <cp:lastModifiedBy>Torben Kajberg</cp:lastModifiedBy>
  <cp:revision>2</cp:revision>
  <cp:lastPrinted>2019-02-08T10:21:00Z</cp:lastPrinted>
  <dcterms:created xsi:type="dcterms:W3CDTF">2019-02-11T14:54:00Z</dcterms:created>
  <dcterms:modified xsi:type="dcterms:W3CDTF">2019-02-11T14:54:00Z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0x0101000046D1DF0C485549B353D855A7C041B5</vt:lpwstr>
  </property>
  <property fmtid="{D5CDD505-2E9C-101B-9397-08002B2CF9AE}" pid="3" name="TeamShareLastOpen">
    <vt:lpwstr>11-02-2019 15:54:17</vt:lpwstr>
  </property>
</Properties>
</file>