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55BB1" w14:textId="10BBB7EA" w:rsidR="000A6D28" w:rsidRPr="004950DA" w:rsidRDefault="000133B2" w:rsidP="00B52ABA">
      <w:pPr>
        <w:pStyle w:val="Overskrift1"/>
        <w:rPr>
          <w:rFonts w:ascii="Calibri" w:hAnsi="Calibri" w:cs="Calibri"/>
        </w:rPr>
      </w:pPr>
      <w:bookmarkStart w:id="0" w:name="_Hlk170162531"/>
      <w:bookmarkStart w:id="1" w:name="_Toc170311166"/>
      <w:bookmarkStart w:id="2" w:name="_Toc170311229"/>
      <w:bookmarkStart w:id="3" w:name="_Toc170751777"/>
      <w:r w:rsidRPr="004950DA">
        <w:rPr>
          <w:rFonts w:ascii="Calibri" w:hAnsi="Calibri" w:cs="Calibri"/>
        </w:rPr>
        <w:t>Rapporteringsk</w:t>
      </w:r>
      <w:r w:rsidR="00CE6DB7" w:rsidRPr="004950DA">
        <w:rPr>
          <w:rFonts w:ascii="Calibri" w:hAnsi="Calibri" w:cs="Calibri"/>
        </w:rPr>
        <w:t xml:space="preserve">rav </w:t>
      </w:r>
      <w:r w:rsidRPr="004950DA">
        <w:rPr>
          <w:rFonts w:ascii="Calibri" w:hAnsi="Calibri" w:cs="Calibri"/>
        </w:rPr>
        <w:t xml:space="preserve">for </w:t>
      </w:r>
      <w:r w:rsidR="004A5817" w:rsidRPr="004950DA">
        <w:rPr>
          <w:rFonts w:ascii="Calibri" w:hAnsi="Calibri" w:cs="Calibri"/>
        </w:rPr>
        <w:t>p</w:t>
      </w:r>
      <w:r w:rsidR="000A6D28" w:rsidRPr="004950DA">
        <w:rPr>
          <w:rFonts w:ascii="Calibri" w:hAnsi="Calibri" w:cs="Calibri"/>
        </w:rPr>
        <w:t>rogram</w:t>
      </w:r>
      <w:r w:rsidR="00F67176" w:rsidRPr="004950DA">
        <w:rPr>
          <w:rFonts w:ascii="Calibri" w:hAnsi="Calibri" w:cs="Calibri"/>
        </w:rPr>
        <w:t>bevillinger</w:t>
      </w:r>
      <w:bookmarkEnd w:id="0"/>
      <w:bookmarkEnd w:id="1"/>
      <w:bookmarkEnd w:id="2"/>
      <w:bookmarkEnd w:id="3"/>
    </w:p>
    <w:p w14:paraId="18A1E236" w14:textId="77777777" w:rsidR="004567C8" w:rsidRPr="004950DA" w:rsidRDefault="004567C8" w:rsidP="00F67176">
      <w:pPr>
        <w:rPr>
          <w:rFonts w:ascii="Calibri" w:hAnsi="Calibri" w:cs="Calibri"/>
        </w:rPr>
      </w:pPr>
    </w:p>
    <w:sdt>
      <w:sdtPr>
        <w:rPr>
          <w:rFonts w:ascii="Calibri" w:eastAsiaTheme="minorHAnsi" w:hAnsi="Calibri" w:cs="Calibri"/>
          <w:color w:val="auto"/>
          <w:kern w:val="2"/>
          <w:sz w:val="22"/>
          <w:szCs w:val="22"/>
          <w:lang w:eastAsia="en-US"/>
          <w14:ligatures w14:val="standardContextual"/>
        </w:rPr>
        <w:id w:val="-2096317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FC55E9" w14:textId="2CCA3168" w:rsidR="004629D6" w:rsidRPr="00755D01" w:rsidRDefault="004567C8" w:rsidP="00755D01">
          <w:pPr>
            <w:pStyle w:val="Overskrift"/>
            <w:rPr>
              <w:noProof/>
            </w:rPr>
          </w:pPr>
          <w:r w:rsidRPr="004950DA">
            <w:rPr>
              <w:rFonts w:ascii="Calibri" w:hAnsi="Calibri" w:cs="Calibri"/>
            </w:rPr>
            <w:t>Indholdsfortegnelse</w:t>
          </w:r>
          <w:r w:rsidRPr="004950DA">
            <w:rPr>
              <w:rFonts w:ascii="Calibri" w:hAnsi="Calibri" w:cs="Calibri"/>
            </w:rPr>
            <w:fldChar w:fldCharType="begin"/>
          </w:r>
          <w:r w:rsidRPr="004950DA">
            <w:rPr>
              <w:rFonts w:ascii="Calibri" w:hAnsi="Calibri" w:cs="Calibri"/>
            </w:rPr>
            <w:instrText xml:space="preserve"> TOC \o "1-3" \h \z \u </w:instrText>
          </w:r>
          <w:r w:rsidRPr="004950DA">
            <w:rPr>
              <w:rFonts w:ascii="Calibri" w:hAnsi="Calibri" w:cs="Calibri"/>
            </w:rPr>
            <w:fldChar w:fldCharType="separate"/>
          </w:r>
        </w:p>
        <w:p w14:paraId="40789F6A" w14:textId="5116E1B5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78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1.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Introduktion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_Toc170751778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2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6E888231" w14:textId="78CF7031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79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2.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Rapportering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_Toc170751779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2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05F78618" w14:textId="3300DAA0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0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2.1 Årlig rapportering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_Toc170751780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2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03DFF69A" w14:textId="00FBFAF5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1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2.2 Årskonsultation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_Toc170751781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2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4204280B" w14:textId="1BC413A5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2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2.3 Afsluttende rapportering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_Toc170751782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3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34810D61" w14:textId="71B1F339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3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3.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Evalueringer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_Toc170751783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3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55EB24D8" w14:textId="10506947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4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3.1 Midtvejsevaluering (intern)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_Toc170751784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3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38F14DCF" w14:textId="50C88926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5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3.2 Evaluering og læringsreviews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_Toc170751785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3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1C42C1C9" w14:textId="2C6FF09C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6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3.3 Eksternt programevaluering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_Toc170751786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4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48110FB7" w14:textId="1991D59F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7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4.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Erfaringsudveksling og læring på tværs af programmer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_Toc170751787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4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5194B533" w14:textId="263920F6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8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5.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Organisationsanalyser af Nord- og Sydpartnere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_Toc170751788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4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50F83793" w14:textId="50D5416F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89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5.1 Organisationsanalyser af Sydpartnere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_Toc170751789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4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5D78D845" w14:textId="66451A18" w:rsidR="004629D6" w:rsidRDefault="007C6402">
          <w:pPr>
            <w:pStyle w:val="Indholdsfortegnelse3"/>
            <w:tabs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90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5.2 Organisationsanalyser af Nordpartnere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_Toc170751790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5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000DAF0E" w14:textId="7D14D547" w:rsidR="004629D6" w:rsidRDefault="007C6402">
          <w:pPr>
            <w:pStyle w:val="Indholdsfortegnelse2"/>
            <w:tabs>
              <w:tab w:val="left" w:pos="720"/>
              <w:tab w:val="right" w:leader="dot" w:pos="9628"/>
            </w:tabs>
            <w:rPr>
              <w:rFonts w:eastAsiaTheme="minorEastAsia"/>
              <w:noProof/>
              <w:sz w:val="24"/>
              <w:szCs w:val="24"/>
              <w:lang w:eastAsia="da-DK"/>
            </w:rPr>
          </w:pPr>
          <w:hyperlink w:anchor="_Toc170751791" w:history="1">
            <w:r w:rsidR="004629D6" w:rsidRPr="003D4A99">
              <w:rPr>
                <w:rStyle w:val="Hyperlink"/>
                <w:rFonts w:ascii="Calibri" w:hAnsi="Calibri" w:cs="Calibri"/>
                <w:noProof/>
              </w:rPr>
              <w:t>6.</w:t>
            </w:r>
            <w:r w:rsidR="004629D6">
              <w:rPr>
                <w:rFonts w:eastAsiaTheme="minorEastAsia"/>
                <w:noProof/>
                <w:sz w:val="24"/>
                <w:szCs w:val="24"/>
                <w:lang w:eastAsia="da-DK"/>
              </w:rPr>
              <w:tab/>
            </w:r>
            <w:r w:rsidR="004629D6" w:rsidRPr="003D4A99">
              <w:rPr>
                <w:rStyle w:val="Hyperlink"/>
                <w:rFonts w:ascii="Calibri" w:hAnsi="Calibri" w:cs="Calibri"/>
                <w:noProof/>
              </w:rPr>
              <w:t>Overblik over afleveringer til DH</w:t>
            </w:r>
            <w:r w:rsidR="004629D6">
              <w:rPr>
                <w:noProof/>
                <w:webHidden/>
              </w:rPr>
              <w:tab/>
            </w:r>
            <w:r w:rsidR="004629D6">
              <w:rPr>
                <w:noProof/>
                <w:webHidden/>
              </w:rPr>
              <w:fldChar w:fldCharType="begin"/>
            </w:r>
            <w:r w:rsidR="004629D6">
              <w:rPr>
                <w:noProof/>
                <w:webHidden/>
              </w:rPr>
              <w:instrText xml:space="preserve"> PAGEREF _Toc170751791 \h </w:instrText>
            </w:r>
            <w:r w:rsidR="004629D6">
              <w:rPr>
                <w:noProof/>
                <w:webHidden/>
              </w:rPr>
            </w:r>
            <w:r w:rsidR="004629D6">
              <w:rPr>
                <w:noProof/>
                <w:webHidden/>
              </w:rPr>
              <w:fldChar w:fldCharType="separate"/>
            </w:r>
            <w:r w:rsidR="004629D6">
              <w:rPr>
                <w:noProof/>
                <w:webHidden/>
              </w:rPr>
              <w:t>5</w:t>
            </w:r>
            <w:r w:rsidR="004629D6">
              <w:rPr>
                <w:noProof/>
                <w:webHidden/>
              </w:rPr>
              <w:fldChar w:fldCharType="end"/>
            </w:r>
          </w:hyperlink>
        </w:p>
        <w:p w14:paraId="791A5E83" w14:textId="3B0033DA" w:rsidR="004567C8" w:rsidRPr="004950DA" w:rsidRDefault="004567C8">
          <w:pPr>
            <w:rPr>
              <w:rFonts w:ascii="Calibri" w:hAnsi="Calibri" w:cs="Calibri"/>
            </w:rPr>
          </w:pPr>
          <w:r w:rsidRPr="004950DA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5E971259" w14:textId="77777777" w:rsidR="0054141A" w:rsidRPr="004950DA" w:rsidRDefault="0054141A">
      <w:pPr>
        <w:rPr>
          <w:rFonts w:ascii="Calibri" w:eastAsiaTheme="majorEastAsia" w:hAnsi="Calibri" w:cs="Calibri"/>
          <w:color w:val="0F4761" w:themeColor="accent1" w:themeShade="BF"/>
          <w:sz w:val="36"/>
          <w:szCs w:val="32"/>
        </w:rPr>
      </w:pPr>
      <w:r w:rsidRPr="004950DA">
        <w:rPr>
          <w:rFonts w:ascii="Calibri" w:hAnsi="Calibri" w:cs="Calibri"/>
        </w:rPr>
        <w:br w:type="page"/>
      </w:r>
    </w:p>
    <w:p w14:paraId="52012187" w14:textId="5B04B4C0" w:rsidR="0054141A" w:rsidRPr="004950DA" w:rsidRDefault="0054141A" w:rsidP="0054141A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4" w:name="_Toc170751778"/>
      <w:bookmarkStart w:id="5" w:name="_Hlk170750111"/>
      <w:r w:rsidRPr="004950DA">
        <w:rPr>
          <w:rFonts w:ascii="Calibri" w:hAnsi="Calibri" w:cs="Calibri"/>
        </w:rPr>
        <w:lastRenderedPageBreak/>
        <w:t>Introduktion</w:t>
      </w:r>
      <w:bookmarkEnd w:id="4"/>
      <w:r w:rsidRPr="004950DA">
        <w:rPr>
          <w:rFonts w:ascii="Calibri" w:hAnsi="Calibri" w:cs="Calibri"/>
        </w:rPr>
        <w:t xml:space="preserve"> </w:t>
      </w:r>
    </w:p>
    <w:p w14:paraId="27C726BB" w14:textId="15052603" w:rsidR="0054141A" w:rsidRPr="004950DA" w:rsidRDefault="0054141A" w:rsidP="0054141A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Dette dokument er for programansøgere i Handicappuljen og skitserer kravene til rapportering</w:t>
      </w:r>
      <w:r w:rsidR="00E569E7">
        <w:rPr>
          <w:rFonts w:ascii="Calibri" w:hAnsi="Calibri" w:cs="Calibri"/>
        </w:rPr>
        <w:t xml:space="preserve"> og</w:t>
      </w:r>
      <w:r w:rsidRPr="004950DA">
        <w:rPr>
          <w:rFonts w:ascii="Calibri" w:hAnsi="Calibri" w:cs="Calibri"/>
        </w:rPr>
        <w:t xml:space="preserve"> evalueringer</w:t>
      </w:r>
      <w:r w:rsidR="00E569E7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samt tværgående læring og organisationsanalyser. Bagest i dokumentet findes et skematisk overblik over krav og deadline for aflevering. </w:t>
      </w:r>
    </w:p>
    <w:p w14:paraId="0AB471F2" w14:textId="1A7C5BCD" w:rsidR="005015DE" w:rsidRDefault="0054141A" w:rsidP="005015D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I forhold til </w:t>
      </w:r>
      <w:r w:rsidR="00340F22">
        <w:rPr>
          <w:rFonts w:ascii="Calibri" w:hAnsi="Calibri" w:cs="Calibri"/>
        </w:rPr>
        <w:t xml:space="preserve">gode råd vedr. </w:t>
      </w:r>
      <w:r w:rsidRPr="004950DA">
        <w:rPr>
          <w:rFonts w:ascii="Calibri" w:hAnsi="Calibri" w:cs="Calibri"/>
        </w:rPr>
        <w:t>monitor</w:t>
      </w:r>
      <w:r w:rsidR="00CC3108">
        <w:rPr>
          <w:rFonts w:ascii="Calibri" w:hAnsi="Calibri" w:cs="Calibri"/>
        </w:rPr>
        <w:t>er</w:t>
      </w:r>
      <w:r w:rsidRPr="004950DA">
        <w:rPr>
          <w:rFonts w:ascii="Calibri" w:hAnsi="Calibri" w:cs="Calibri"/>
        </w:rPr>
        <w:t>ing og evaluering mm.</w:t>
      </w:r>
      <w:r w:rsidR="00CC3108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anbefaler DH fortsat brugen af </w:t>
      </w:r>
      <w:r w:rsidR="005015DE" w:rsidRPr="004950DA">
        <w:rPr>
          <w:rFonts w:ascii="Calibri" w:hAnsi="Calibri" w:cs="Calibri"/>
        </w:rPr>
        <w:t>”</w:t>
      </w:r>
      <w:r w:rsidRPr="004950DA">
        <w:rPr>
          <w:rFonts w:ascii="Calibri" w:hAnsi="Calibri" w:cs="Calibri"/>
        </w:rPr>
        <w:t>DHs Håndbog for projekt og økonomistyring</w:t>
      </w:r>
      <w:r w:rsidR="005015DE" w:rsidRPr="004950DA">
        <w:rPr>
          <w:rFonts w:ascii="Calibri" w:hAnsi="Calibri" w:cs="Calibri"/>
        </w:rPr>
        <w:t>”</w:t>
      </w:r>
      <w:r w:rsidRPr="004950DA">
        <w:rPr>
          <w:rFonts w:ascii="Calibri" w:hAnsi="Calibri" w:cs="Calibri"/>
        </w:rPr>
        <w:t xml:space="preserve"> kapitel 4, som </w:t>
      </w:r>
      <w:r w:rsidR="005015DE" w:rsidRPr="004950DA">
        <w:rPr>
          <w:rFonts w:ascii="Calibri" w:hAnsi="Calibri" w:cs="Calibri"/>
        </w:rPr>
        <w:t>kan inspirere og guide</w:t>
      </w:r>
      <w:r w:rsidR="00CC3108">
        <w:rPr>
          <w:rFonts w:ascii="Calibri" w:hAnsi="Calibri" w:cs="Calibri"/>
        </w:rPr>
        <w:t xml:space="preserve">. </w:t>
      </w:r>
    </w:p>
    <w:p w14:paraId="4719DA1F" w14:textId="77777777" w:rsidR="00CC3108" w:rsidRPr="004950DA" w:rsidRDefault="00CC3108" w:rsidP="005015DE">
      <w:pPr>
        <w:rPr>
          <w:rFonts w:ascii="Calibri" w:hAnsi="Calibri" w:cs="Calibri"/>
        </w:rPr>
      </w:pPr>
    </w:p>
    <w:p w14:paraId="0BD4C734" w14:textId="6AB4449F" w:rsidR="003B6A57" w:rsidRPr="004950DA" w:rsidRDefault="008A7C44" w:rsidP="00647074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6" w:name="_Toc170751779"/>
      <w:r w:rsidRPr="004950DA">
        <w:rPr>
          <w:rFonts w:ascii="Calibri" w:hAnsi="Calibri" w:cs="Calibri"/>
        </w:rPr>
        <w:t>Rapportering</w:t>
      </w:r>
      <w:bookmarkEnd w:id="6"/>
      <w:r w:rsidRPr="004950DA">
        <w:rPr>
          <w:rFonts w:ascii="Calibri" w:hAnsi="Calibri" w:cs="Calibri"/>
        </w:rPr>
        <w:t xml:space="preserve"> </w:t>
      </w:r>
    </w:p>
    <w:p w14:paraId="5C6208E8" w14:textId="046DDC74" w:rsidR="005015DE" w:rsidRPr="004950DA" w:rsidRDefault="005015DE" w:rsidP="005015D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I dette afsnit uddybes de forskellige krav, som gør sig gældende for rapportering </w:t>
      </w:r>
      <w:r w:rsidR="00E24405" w:rsidRPr="004950DA">
        <w:rPr>
          <w:rFonts w:ascii="Calibri" w:hAnsi="Calibri" w:cs="Calibri"/>
        </w:rPr>
        <w:t>for</w:t>
      </w:r>
      <w:r w:rsidRPr="004950DA">
        <w:rPr>
          <w:rFonts w:ascii="Calibri" w:hAnsi="Calibri" w:cs="Calibri"/>
        </w:rPr>
        <w:t xml:space="preserve"> programbevilling</w:t>
      </w:r>
      <w:r w:rsidR="00E24405" w:rsidRPr="004950DA">
        <w:rPr>
          <w:rFonts w:ascii="Calibri" w:hAnsi="Calibri" w:cs="Calibri"/>
        </w:rPr>
        <w:t>er</w:t>
      </w:r>
      <w:r w:rsidRPr="004950DA">
        <w:rPr>
          <w:rFonts w:ascii="Calibri" w:hAnsi="Calibri" w:cs="Calibri"/>
        </w:rPr>
        <w:t xml:space="preserve"> i Handicappuljen. De resultater og den læring</w:t>
      </w:r>
      <w:r w:rsidR="00363323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som den danske bevillingshaver deler gennem rapportering, indgår i resultatrapporten</w:t>
      </w:r>
      <w:r w:rsidR="00363323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som DH årligt sender til Udenrigsministeriet</w:t>
      </w:r>
      <w:r w:rsidR="00363323">
        <w:rPr>
          <w:rFonts w:ascii="Calibri" w:hAnsi="Calibri" w:cs="Calibri"/>
        </w:rPr>
        <w:t>, og indgår herved som dokumentation for brugen af de udviklingsmidler, som finansierer projekter og programmer i regi af DH’s Globale Handicapprogram.</w:t>
      </w:r>
      <w:r w:rsidRPr="004950DA">
        <w:rPr>
          <w:rFonts w:ascii="Calibri" w:hAnsi="Calibri" w:cs="Calibri"/>
        </w:rPr>
        <w:t xml:space="preserve"> </w:t>
      </w:r>
    </w:p>
    <w:p w14:paraId="1CE59D03" w14:textId="0F5828D9" w:rsidR="00E24405" w:rsidRPr="004950DA" w:rsidRDefault="009C7458" w:rsidP="00E24405">
      <w:pPr>
        <w:rPr>
          <w:rFonts w:ascii="Calibri" w:hAnsi="Calibri" w:cs="Calibri"/>
        </w:rPr>
      </w:pPr>
      <w:r w:rsidRPr="00C859AF">
        <w:rPr>
          <w:rFonts w:ascii="Calibri" w:hAnsi="Calibri" w:cs="Calibri"/>
        </w:rPr>
        <w:t>DH udarbejder formater for afrapportering i løbet af efteråret 2024 i tæt dialog med medlemsorganisationerne.</w:t>
      </w:r>
      <w:r w:rsidR="00E24405" w:rsidRPr="004950DA">
        <w:rPr>
          <w:rFonts w:ascii="Calibri" w:hAnsi="Calibri" w:cs="Calibri"/>
        </w:rPr>
        <w:t xml:space="preserve"> Det er op til den danske organisation</w:t>
      </w:r>
      <w:r w:rsidR="00363323">
        <w:rPr>
          <w:rFonts w:ascii="Calibri" w:hAnsi="Calibri" w:cs="Calibri"/>
        </w:rPr>
        <w:t>,</w:t>
      </w:r>
      <w:r w:rsidR="00E24405" w:rsidRPr="004950DA">
        <w:rPr>
          <w:rFonts w:ascii="Calibri" w:hAnsi="Calibri" w:cs="Calibri"/>
        </w:rPr>
        <w:t xml:space="preserve"> hvorvidt rapporteringen udarbejdes på dansk eller engelsk.</w:t>
      </w:r>
    </w:p>
    <w:p w14:paraId="25628B39" w14:textId="05AEEEF7" w:rsidR="005015DE" w:rsidRPr="004950DA" w:rsidRDefault="00E24405" w:rsidP="005015D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Herudover skal den danske bevillingshaver sende </w:t>
      </w:r>
      <w:r w:rsidR="00FC6A50">
        <w:rPr>
          <w:rFonts w:ascii="Calibri" w:hAnsi="Calibri" w:cs="Calibri"/>
        </w:rPr>
        <w:t xml:space="preserve">organisationens </w:t>
      </w:r>
      <w:r w:rsidR="005015DE" w:rsidRPr="004950DA">
        <w:rPr>
          <w:rFonts w:ascii="Calibri" w:hAnsi="Calibri" w:cs="Calibri"/>
        </w:rPr>
        <w:t xml:space="preserve">årsberetning og årsregnskab med tilhørende revisionsprotokollat til DH, så snart disse foreligger, og senest 31/5. </w:t>
      </w:r>
    </w:p>
    <w:p w14:paraId="0792F006" w14:textId="77777777" w:rsidR="005015DE" w:rsidRPr="004950DA" w:rsidRDefault="005015DE" w:rsidP="005015DE">
      <w:pPr>
        <w:rPr>
          <w:rFonts w:ascii="Calibri" w:hAnsi="Calibri" w:cs="Calibri"/>
        </w:rPr>
      </w:pPr>
    </w:p>
    <w:p w14:paraId="1F5BF1DE" w14:textId="3CF439E8" w:rsidR="00647074" w:rsidRPr="004950DA" w:rsidRDefault="001060BA" w:rsidP="00647074">
      <w:pPr>
        <w:pStyle w:val="Overskrift3"/>
        <w:rPr>
          <w:rFonts w:ascii="Calibri" w:hAnsi="Calibri" w:cs="Calibri"/>
        </w:rPr>
      </w:pPr>
      <w:bookmarkStart w:id="7" w:name="_Toc170751780"/>
      <w:r>
        <w:rPr>
          <w:rFonts w:ascii="Calibri" w:hAnsi="Calibri" w:cs="Calibri"/>
        </w:rPr>
        <w:t>2</w:t>
      </w:r>
      <w:r w:rsidR="00647074" w:rsidRPr="004950DA">
        <w:rPr>
          <w:rFonts w:ascii="Calibri" w:hAnsi="Calibri" w:cs="Calibri"/>
        </w:rPr>
        <w:t>.1 Årlig rapportering</w:t>
      </w:r>
      <w:bookmarkEnd w:id="7"/>
    </w:p>
    <w:p w14:paraId="1ECBEC58" w14:textId="6DA7C601" w:rsidR="00B567AB" w:rsidRPr="004950DA" w:rsidRDefault="00B567AB" w:rsidP="00F67176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Den danske bevillingshaver skal </w:t>
      </w:r>
      <w:r w:rsidR="003B6A57" w:rsidRPr="004950DA">
        <w:rPr>
          <w:rFonts w:ascii="Calibri" w:hAnsi="Calibri" w:cs="Calibri"/>
        </w:rPr>
        <w:t xml:space="preserve">lave en statusrapportering en gang årligt. </w:t>
      </w:r>
    </w:p>
    <w:p w14:paraId="4755A234" w14:textId="39691C34" w:rsidR="003B6A57" w:rsidRPr="004950DA" w:rsidRDefault="003B6A57" w:rsidP="00F67176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Rapporteringen </w:t>
      </w:r>
      <w:r w:rsidR="00E24405" w:rsidRPr="004950DA">
        <w:rPr>
          <w:rFonts w:ascii="Calibri" w:hAnsi="Calibri" w:cs="Calibri"/>
        </w:rPr>
        <w:t xml:space="preserve">skal afleveres 1. marts og </w:t>
      </w:r>
      <w:r w:rsidRPr="004950DA">
        <w:rPr>
          <w:rFonts w:ascii="Calibri" w:hAnsi="Calibri" w:cs="Calibri"/>
        </w:rPr>
        <w:t>bestå</w:t>
      </w:r>
      <w:r w:rsidR="00090FF5" w:rsidRPr="004950DA">
        <w:rPr>
          <w:rFonts w:ascii="Calibri" w:hAnsi="Calibri" w:cs="Calibri"/>
        </w:rPr>
        <w:t>r</w:t>
      </w:r>
      <w:r w:rsidRPr="004950DA">
        <w:rPr>
          <w:rFonts w:ascii="Calibri" w:hAnsi="Calibri" w:cs="Calibri"/>
        </w:rPr>
        <w:t xml:space="preserve"> a</w:t>
      </w:r>
      <w:r w:rsidR="00532A9A" w:rsidRPr="004950DA">
        <w:rPr>
          <w:rFonts w:ascii="Calibri" w:hAnsi="Calibri" w:cs="Calibri"/>
        </w:rPr>
        <w:t>f:</w:t>
      </w:r>
    </w:p>
    <w:p w14:paraId="380364C9" w14:textId="74FC68D4" w:rsidR="000133B2" w:rsidRPr="004950DA" w:rsidRDefault="000133B2" w:rsidP="000133B2">
      <w:pPr>
        <w:pStyle w:val="Listeafsnit"/>
        <w:numPr>
          <w:ilvl w:val="0"/>
          <w:numId w:val="18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Narrativ rapportering på resultater og læring fra</w:t>
      </w:r>
      <w:r w:rsidR="00B567AB" w:rsidRPr="004950DA">
        <w:rPr>
          <w:rFonts w:ascii="Calibri" w:hAnsi="Calibri" w:cs="Calibri"/>
        </w:rPr>
        <w:t xml:space="preserve"> </w:t>
      </w:r>
      <w:r w:rsidRPr="004950DA">
        <w:rPr>
          <w:rFonts w:ascii="Calibri" w:hAnsi="Calibri" w:cs="Calibri"/>
        </w:rPr>
        <w:t xml:space="preserve">det foregående år. </w:t>
      </w:r>
      <w:r w:rsidR="00B567AB" w:rsidRPr="004950DA">
        <w:rPr>
          <w:rStyle w:val="Fodnotehenvisning"/>
          <w:rFonts w:ascii="Calibri" w:hAnsi="Calibri" w:cs="Calibri"/>
        </w:rPr>
        <w:footnoteReference w:id="1"/>
      </w:r>
    </w:p>
    <w:p w14:paraId="7098A84F" w14:textId="71C23703" w:rsidR="004735CF" w:rsidRPr="004950DA" w:rsidRDefault="004735CF" w:rsidP="004735CF">
      <w:pPr>
        <w:pStyle w:val="Listeafsnit"/>
        <w:numPr>
          <w:ilvl w:val="0"/>
          <w:numId w:val="18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Status på </w:t>
      </w:r>
      <w:r w:rsidR="00967AFC">
        <w:rPr>
          <w:rFonts w:ascii="Calibri" w:hAnsi="Calibri" w:cs="Calibri"/>
        </w:rPr>
        <w:t xml:space="preserve">opfølgning på </w:t>
      </w:r>
      <w:r w:rsidRPr="004950DA">
        <w:rPr>
          <w:rFonts w:ascii="Calibri" w:hAnsi="Calibri" w:cs="Calibri"/>
        </w:rPr>
        <w:t xml:space="preserve">anbefalinger fra kapacitetsanalyser, </w:t>
      </w:r>
      <w:r w:rsidR="00E569E7">
        <w:rPr>
          <w:rFonts w:ascii="Calibri" w:hAnsi="Calibri" w:cs="Calibri"/>
        </w:rPr>
        <w:t>evaluering</w:t>
      </w:r>
      <w:r w:rsidR="00E569E7" w:rsidRPr="004950DA">
        <w:rPr>
          <w:rFonts w:ascii="Calibri" w:hAnsi="Calibri" w:cs="Calibri"/>
        </w:rPr>
        <w:t xml:space="preserve"> </w:t>
      </w:r>
      <w:r w:rsidRPr="004950DA">
        <w:rPr>
          <w:rFonts w:ascii="Calibri" w:hAnsi="Calibri" w:cs="Calibri"/>
        </w:rPr>
        <w:t>og tilsyn.</w:t>
      </w:r>
      <w:r w:rsidR="00B567AB" w:rsidRPr="004950DA">
        <w:rPr>
          <w:rFonts w:ascii="Calibri" w:hAnsi="Calibri" w:cs="Calibri"/>
          <w:vertAlign w:val="superscript"/>
        </w:rPr>
        <w:t>1</w:t>
      </w:r>
      <w:r w:rsidRPr="004950DA">
        <w:rPr>
          <w:rFonts w:ascii="Calibri" w:hAnsi="Calibri" w:cs="Calibri"/>
        </w:rPr>
        <w:t xml:space="preserve"> </w:t>
      </w:r>
    </w:p>
    <w:p w14:paraId="753E4763" w14:textId="26AA1885" w:rsidR="000133B2" w:rsidRPr="004950DA" w:rsidRDefault="000133B2" w:rsidP="000133B2">
      <w:pPr>
        <w:pStyle w:val="Listeafsnit"/>
        <w:numPr>
          <w:ilvl w:val="0"/>
          <w:numId w:val="18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Opdateret resultatramme med status på outcome</w:t>
      </w:r>
      <w:r w:rsidR="002534AE">
        <w:rPr>
          <w:rFonts w:ascii="Calibri" w:hAnsi="Calibri" w:cs="Calibri"/>
        </w:rPr>
        <w:t xml:space="preserve"> og output niveau </w:t>
      </w:r>
    </w:p>
    <w:p w14:paraId="1597861F" w14:textId="6C9627B9" w:rsidR="00532A9A" w:rsidRPr="004950DA" w:rsidRDefault="00532A9A" w:rsidP="00532A9A">
      <w:pPr>
        <w:pStyle w:val="Listeafsnit"/>
        <w:numPr>
          <w:ilvl w:val="0"/>
          <w:numId w:val="18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Strategisk oplæg for det kommende år</w:t>
      </w:r>
      <w:r w:rsidR="00C859AF">
        <w:rPr>
          <w:rStyle w:val="Fodnotehenvisning"/>
          <w:rFonts w:ascii="Calibri" w:hAnsi="Calibri" w:cs="Calibri"/>
        </w:rPr>
        <w:footnoteReference w:id="2"/>
      </w:r>
    </w:p>
    <w:p w14:paraId="7101089C" w14:textId="07184F65" w:rsidR="00532A9A" w:rsidRPr="004950DA" w:rsidRDefault="00532A9A" w:rsidP="00532A9A">
      <w:pPr>
        <w:pStyle w:val="Listeafsnit"/>
        <w:numPr>
          <w:ilvl w:val="0"/>
          <w:numId w:val="18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Budget for det kommende år</w:t>
      </w:r>
      <w:r w:rsidR="00C859AF">
        <w:rPr>
          <w:rFonts w:ascii="Calibri" w:hAnsi="Calibri" w:cs="Calibri"/>
        </w:rPr>
        <w:t>.</w:t>
      </w:r>
      <w:r w:rsidR="00C859AF" w:rsidRPr="008151CB">
        <w:rPr>
          <w:rFonts w:ascii="Calibri" w:hAnsi="Calibri" w:cs="Calibri"/>
          <w:vertAlign w:val="superscript"/>
        </w:rPr>
        <w:t>2</w:t>
      </w:r>
    </w:p>
    <w:p w14:paraId="438A47A4" w14:textId="3BB8EDDF" w:rsidR="00090FF5" w:rsidRPr="004950DA" w:rsidRDefault="00090FF5" w:rsidP="00090FF5">
      <w:pPr>
        <w:rPr>
          <w:rFonts w:ascii="Calibri" w:hAnsi="Calibri" w:cs="Calibri"/>
          <w:color w:val="000000" w:themeColor="text1"/>
        </w:rPr>
      </w:pPr>
      <w:r w:rsidRPr="004950DA">
        <w:rPr>
          <w:rFonts w:ascii="Calibri" w:hAnsi="Calibri" w:cs="Calibri"/>
          <w:color w:val="000000" w:themeColor="text1"/>
        </w:rPr>
        <w:t xml:space="preserve">Den 1. juli afleveres det reviderede regnskab. </w:t>
      </w:r>
    </w:p>
    <w:p w14:paraId="2343CA39" w14:textId="77777777" w:rsidR="00CF6167" w:rsidRPr="004950DA" w:rsidRDefault="00CF6167" w:rsidP="00F67176">
      <w:pPr>
        <w:rPr>
          <w:rFonts w:ascii="Calibri" w:hAnsi="Calibri" w:cs="Calibri"/>
        </w:rPr>
      </w:pPr>
    </w:p>
    <w:p w14:paraId="72A18FE4" w14:textId="3E3A3757" w:rsidR="0017734F" w:rsidRPr="004950DA" w:rsidRDefault="001060BA" w:rsidP="00647074">
      <w:pPr>
        <w:pStyle w:val="Overskrift3"/>
        <w:rPr>
          <w:rFonts w:ascii="Calibri" w:hAnsi="Calibri" w:cs="Calibri"/>
        </w:rPr>
      </w:pPr>
      <w:bookmarkStart w:id="8" w:name="_Toc170751781"/>
      <w:r>
        <w:rPr>
          <w:rFonts w:ascii="Calibri" w:hAnsi="Calibri" w:cs="Calibri"/>
        </w:rPr>
        <w:t>2</w:t>
      </w:r>
      <w:r w:rsidR="00647074" w:rsidRPr="004950DA">
        <w:rPr>
          <w:rFonts w:ascii="Calibri" w:hAnsi="Calibri" w:cs="Calibri"/>
        </w:rPr>
        <w:t xml:space="preserve">.2 </w:t>
      </w:r>
      <w:r w:rsidR="0017734F" w:rsidRPr="004950DA">
        <w:rPr>
          <w:rFonts w:ascii="Calibri" w:hAnsi="Calibri" w:cs="Calibri"/>
        </w:rPr>
        <w:t>Årskonsultation</w:t>
      </w:r>
      <w:bookmarkEnd w:id="8"/>
      <w:r w:rsidR="0017734F" w:rsidRPr="004950DA">
        <w:rPr>
          <w:rFonts w:ascii="Calibri" w:hAnsi="Calibri" w:cs="Calibri"/>
        </w:rPr>
        <w:t xml:space="preserve"> </w:t>
      </w:r>
    </w:p>
    <w:p w14:paraId="3B1A1929" w14:textId="667B7A62" w:rsidR="0017734F" w:rsidRPr="008151CB" w:rsidRDefault="0017734F" w:rsidP="0077077F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DH </w:t>
      </w:r>
      <w:r w:rsidR="000133B2" w:rsidRPr="004950DA">
        <w:rPr>
          <w:rFonts w:ascii="Calibri" w:hAnsi="Calibri" w:cs="Calibri"/>
        </w:rPr>
        <w:t xml:space="preserve">afholder </w:t>
      </w:r>
      <w:r w:rsidRPr="004950DA">
        <w:rPr>
          <w:rFonts w:ascii="Calibri" w:hAnsi="Calibri" w:cs="Calibri"/>
        </w:rPr>
        <w:t xml:space="preserve">hvert år </w:t>
      </w:r>
      <w:r w:rsidR="000133B2" w:rsidRPr="004950DA">
        <w:rPr>
          <w:rFonts w:ascii="Calibri" w:hAnsi="Calibri" w:cs="Calibri"/>
        </w:rPr>
        <w:t xml:space="preserve">årsmøder med alle </w:t>
      </w:r>
      <w:r w:rsidRPr="004950DA">
        <w:rPr>
          <w:rFonts w:ascii="Calibri" w:hAnsi="Calibri" w:cs="Calibri"/>
        </w:rPr>
        <w:t xml:space="preserve">danske organisationer med </w:t>
      </w:r>
      <w:r w:rsidR="000133B2" w:rsidRPr="004950DA">
        <w:rPr>
          <w:rFonts w:ascii="Calibri" w:hAnsi="Calibri" w:cs="Calibri"/>
        </w:rPr>
        <w:t xml:space="preserve">bevillinger fra Handicappuljen, herunder for </w:t>
      </w:r>
      <w:r w:rsidRPr="004950DA">
        <w:rPr>
          <w:rFonts w:ascii="Calibri" w:hAnsi="Calibri" w:cs="Calibri"/>
        </w:rPr>
        <w:t>program</w:t>
      </w:r>
      <w:r w:rsidR="000133B2" w:rsidRPr="004950DA">
        <w:rPr>
          <w:rFonts w:ascii="Calibri" w:hAnsi="Calibri" w:cs="Calibri"/>
        </w:rPr>
        <w:t xml:space="preserve">organisationer. </w:t>
      </w:r>
      <w:r w:rsidRPr="008151CB">
        <w:rPr>
          <w:rFonts w:ascii="Calibri" w:hAnsi="Calibri" w:cs="Calibri"/>
        </w:rPr>
        <w:t>År</w:t>
      </w:r>
      <w:r w:rsidR="000133B2" w:rsidRPr="008151CB">
        <w:rPr>
          <w:rFonts w:ascii="Calibri" w:hAnsi="Calibri" w:cs="Calibri"/>
        </w:rPr>
        <w:t>smøderne</w:t>
      </w:r>
      <w:r w:rsidRPr="008151CB">
        <w:rPr>
          <w:rFonts w:ascii="Calibri" w:hAnsi="Calibri" w:cs="Calibri"/>
        </w:rPr>
        <w:t xml:space="preserve"> vil tage udgangspunkt i </w:t>
      </w:r>
      <w:r w:rsidRPr="00E569E7">
        <w:rPr>
          <w:rFonts w:ascii="Calibri" w:hAnsi="Calibri" w:cs="Calibri"/>
        </w:rPr>
        <w:t xml:space="preserve">de </w:t>
      </w:r>
      <w:r w:rsidR="000133B2" w:rsidRPr="00E569E7">
        <w:rPr>
          <w:rFonts w:ascii="Calibri" w:hAnsi="Calibri" w:cs="Calibri"/>
        </w:rPr>
        <w:t xml:space="preserve">indsendte dokumenter og </w:t>
      </w:r>
      <w:r w:rsidR="000133B2" w:rsidRPr="00E569E7">
        <w:rPr>
          <w:rFonts w:ascii="Calibri" w:hAnsi="Calibri" w:cs="Calibri"/>
        </w:rPr>
        <w:lastRenderedPageBreak/>
        <w:t xml:space="preserve">fokusere </w:t>
      </w:r>
      <w:r w:rsidR="00090FF5" w:rsidRPr="00E569E7">
        <w:rPr>
          <w:rFonts w:ascii="Calibri" w:hAnsi="Calibri" w:cs="Calibri"/>
        </w:rPr>
        <w:t xml:space="preserve">dels </w:t>
      </w:r>
      <w:r w:rsidR="000133B2" w:rsidRPr="008151CB">
        <w:rPr>
          <w:rFonts w:ascii="Calibri" w:hAnsi="Calibri" w:cs="Calibri"/>
        </w:rPr>
        <w:t>på</w:t>
      </w:r>
      <w:r w:rsidR="0077077F" w:rsidRPr="008151CB">
        <w:rPr>
          <w:rFonts w:ascii="Calibri" w:hAnsi="Calibri" w:cs="Calibri"/>
        </w:rPr>
        <w:t xml:space="preserve"> </w:t>
      </w:r>
      <w:r w:rsidR="000133B2" w:rsidRPr="008151CB">
        <w:rPr>
          <w:rFonts w:ascii="Calibri" w:hAnsi="Calibri" w:cs="Calibri"/>
        </w:rPr>
        <w:t>resultater</w:t>
      </w:r>
      <w:r w:rsidR="000133B2" w:rsidRPr="00E569E7">
        <w:rPr>
          <w:rFonts w:ascii="Calibri" w:hAnsi="Calibri" w:cs="Calibri"/>
        </w:rPr>
        <w:t xml:space="preserve">, </w:t>
      </w:r>
      <w:r w:rsidR="000133B2" w:rsidRPr="008151CB">
        <w:rPr>
          <w:rFonts w:ascii="Calibri" w:hAnsi="Calibri" w:cs="Calibri"/>
        </w:rPr>
        <w:t>læring</w:t>
      </w:r>
      <w:r w:rsidR="0022687E" w:rsidRPr="008151CB">
        <w:rPr>
          <w:rFonts w:ascii="Calibri" w:hAnsi="Calibri" w:cs="Calibri"/>
        </w:rPr>
        <w:t xml:space="preserve"> og </w:t>
      </w:r>
      <w:r w:rsidR="000133B2" w:rsidRPr="008151CB">
        <w:rPr>
          <w:rFonts w:ascii="Calibri" w:hAnsi="Calibri" w:cs="Calibri"/>
        </w:rPr>
        <w:t>regnskab</w:t>
      </w:r>
      <w:r w:rsidR="0022687E" w:rsidRPr="008151CB">
        <w:rPr>
          <w:rFonts w:ascii="Calibri" w:hAnsi="Calibri" w:cs="Calibri"/>
        </w:rPr>
        <w:t xml:space="preserve"> fra det forgangne år</w:t>
      </w:r>
      <w:r w:rsidR="000133B2" w:rsidRPr="008151CB">
        <w:rPr>
          <w:rFonts w:ascii="Calibri" w:hAnsi="Calibri" w:cs="Calibri"/>
        </w:rPr>
        <w:t xml:space="preserve">, </w:t>
      </w:r>
      <w:r w:rsidR="0077077F" w:rsidRPr="008151CB">
        <w:rPr>
          <w:rFonts w:ascii="Calibri" w:hAnsi="Calibri" w:cs="Calibri"/>
        </w:rPr>
        <w:t xml:space="preserve">dels på </w:t>
      </w:r>
      <w:r w:rsidR="000133B2" w:rsidRPr="008151CB">
        <w:rPr>
          <w:rFonts w:ascii="Calibri" w:hAnsi="Calibri" w:cs="Calibri"/>
        </w:rPr>
        <w:t xml:space="preserve">opfølgning på anbefalinger fra </w:t>
      </w:r>
      <w:r w:rsidR="0022687E" w:rsidRPr="008151CB">
        <w:rPr>
          <w:rFonts w:ascii="Calibri" w:hAnsi="Calibri" w:cs="Calibri"/>
        </w:rPr>
        <w:t xml:space="preserve">kapacitetsanalyse, </w:t>
      </w:r>
      <w:r w:rsidR="000133B2" w:rsidRPr="008151CB">
        <w:rPr>
          <w:rFonts w:ascii="Calibri" w:hAnsi="Calibri" w:cs="Calibri"/>
        </w:rPr>
        <w:t>tilsyn</w:t>
      </w:r>
      <w:r w:rsidR="000133B2" w:rsidRPr="00E569E7">
        <w:rPr>
          <w:rFonts w:ascii="Calibri" w:hAnsi="Calibri" w:cs="Calibri"/>
        </w:rPr>
        <w:t xml:space="preserve">, </w:t>
      </w:r>
      <w:r w:rsidR="00E569E7">
        <w:rPr>
          <w:rFonts w:ascii="Calibri" w:hAnsi="Calibri" w:cs="Calibri"/>
        </w:rPr>
        <w:t>evalueringer</w:t>
      </w:r>
      <w:r w:rsidR="000133B2" w:rsidRPr="00E569E7">
        <w:rPr>
          <w:rFonts w:ascii="Calibri" w:hAnsi="Calibri" w:cs="Calibri"/>
        </w:rPr>
        <w:t xml:space="preserve"> mv.</w:t>
      </w:r>
      <w:r w:rsidR="008151CB">
        <w:rPr>
          <w:rFonts w:ascii="Calibri" w:hAnsi="Calibri" w:cs="Calibri"/>
        </w:rPr>
        <w:t xml:space="preserve"> </w:t>
      </w:r>
      <w:r w:rsidR="00F27E9E" w:rsidRPr="008151CB">
        <w:rPr>
          <w:rFonts w:ascii="Calibri" w:hAnsi="Calibri" w:cs="Calibri"/>
        </w:rPr>
        <w:t xml:space="preserve">foruden </w:t>
      </w:r>
      <w:r w:rsidR="000133B2" w:rsidRPr="008151CB">
        <w:rPr>
          <w:rFonts w:ascii="Calibri" w:hAnsi="Calibri" w:cs="Calibri"/>
        </w:rPr>
        <w:t xml:space="preserve">på strategisk oplæg og budget for det kommende år.  </w:t>
      </w:r>
    </w:p>
    <w:p w14:paraId="555691C7" w14:textId="77777777" w:rsidR="00B52ABA" w:rsidRPr="004950DA" w:rsidRDefault="00B52ABA" w:rsidP="0017734F">
      <w:pPr>
        <w:rPr>
          <w:rFonts w:ascii="Calibri" w:hAnsi="Calibri" w:cs="Calibri"/>
        </w:rPr>
      </w:pPr>
    </w:p>
    <w:p w14:paraId="1B89F1B4" w14:textId="27B61BEF" w:rsidR="00647074" w:rsidRPr="004950DA" w:rsidRDefault="001060BA" w:rsidP="00647074">
      <w:pPr>
        <w:pStyle w:val="Overskrift3"/>
        <w:rPr>
          <w:rFonts w:ascii="Calibri" w:hAnsi="Calibri" w:cs="Calibri"/>
        </w:rPr>
      </w:pPr>
      <w:bookmarkStart w:id="9" w:name="_Toc170751782"/>
      <w:r>
        <w:rPr>
          <w:rFonts w:ascii="Calibri" w:hAnsi="Calibri" w:cs="Calibri"/>
        </w:rPr>
        <w:t>2</w:t>
      </w:r>
      <w:r w:rsidR="00647074" w:rsidRPr="004950DA">
        <w:rPr>
          <w:rFonts w:ascii="Calibri" w:hAnsi="Calibri" w:cs="Calibri"/>
        </w:rPr>
        <w:t>.3 Afsluttende rapportering</w:t>
      </w:r>
      <w:bookmarkEnd w:id="9"/>
    </w:p>
    <w:p w14:paraId="63DA150B" w14:textId="763D7527" w:rsidR="009C7458" w:rsidRPr="004950DA" w:rsidRDefault="00170A16" w:rsidP="00647074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</w:t>
      </w:r>
      <w:r w:rsidR="00090FF5" w:rsidRPr="004950DA">
        <w:rPr>
          <w:rFonts w:ascii="Calibri" w:hAnsi="Calibri" w:cs="Calibri"/>
        </w:rPr>
        <w:t xml:space="preserve">en danske bevillingshaver </w:t>
      </w:r>
      <w:r w:rsidRPr="004950DA">
        <w:rPr>
          <w:rFonts w:ascii="Calibri" w:hAnsi="Calibri" w:cs="Calibri"/>
        </w:rPr>
        <w:t xml:space="preserve">skal lave en afsluttende rapportering </w:t>
      </w:r>
      <w:r w:rsidR="00090FF5" w:rsidRPr="004950DA">
        <w:rPr>
          <w:rFonts w:ascii="Calibri" w:hAnsi="Calibri" w:cs="Calibri"/>
        </w:rPr>
        <w:t>efter programmets afslutning</w:t>
      </w:r>
      <w:r w:rsidRPr="004950DA">
        <w:rPr>
          <w:rFonts w:ascii="Calibri" w:hAnsi="Calibri" w:cs="Calibri"/>
        </w:rPr>
        <w:t xml:space="preserve">. </w:t>
      </w:r>
      <w:r w:rsidR="00090FF5" w:rsidRPr="004950DA">
        <w:rPr>
          <w:rFonts w:ascii="Calibri" w:hAnsi="Calibri" w:cs="Calibri"/>
        </w:rPr>
        <w:t>Denne r</w:t>
      </w:r>
      <w:r w:rsidRPr="004950DA">
        <w:rPr>
          <w:rFonts w:ascii="Calibri" w:hAnsi="Calibri" w:cs="Calibri"/>
        </w:rPr>
        <w:t>apportering vil dels fungere som en år</w:t>
      </w:r>
      <w:r w:rsidR="00DD010A" w:rsidRPr="004950DA">
        <w:rPr>
          <w:rFonts w:ascii="Calibri" w:hAnsi="Calibri" w:cs="Calibri"/>
        </w:rPr>
        <w:t>s</w:t>
      </w:r>
      <w:r w:rsidRPr="004950DA">
        <w:rPr>
          <w:rFonts w:ascii="Calibri" w:hAnsi="Calibri" w:cs="Calibri"/>
        </w:rPr>
        <w:t xml:space="preserve">rapport på </w:t>
      </w:r>
      <w:r w:rsidR="00DD010A" w:rsidRPr="004950DA">
        <w:rPr>
          <w:rFonts w:ascii="Calibri" w:hAnsi="Calibri" w:cs="Calibri"/>
        </w:rPr>
        <w:t>det sidste år af programme</w:t>
      </w:r>
      <w:r w:rsidR="00E24405" w:rsidRPr="004950DA">
        <w:rPr>
          <w:rFonts w:ascii="Calibri" w:hAnsi="Calibri" w:cs="Calibri"/>
        </w:rPr>
        <w:t>t</w:t>
      </w:r>
      <w:r w:rsidR="00DD010A" w:rsidRPr="004950DA">
        <w:rPr>
          <w:rFonts w:ascii="Calibri" w:hAnsi="Calibri" w:cs="Calibri"/>
        </w:rPr>
        <w:t xml:space="preserve"> (</w:t>
      </w:r>
      <w:r w:rsidRPr="004950DA">
        <w:rPr>
          <w:rFonts w:ascii="Calibri" w:hAnsi="Calibri" w:cs="Calibri"/>
        </w:rPr>
        <w:t>år 4</w:t>
      </w:r>
      <w:r w:rsidR="00DD010A" w:rsidRPr="004950DA">
        <w:rPr>
          <w:rFonts w:ascii="Calibri" w:hAnsi="Calibri" w:cs="Calibri"/>
        </w:rPr>
        <w:t>)</w:t>
      </w:r>
      <w:r w:rsidRPr="004950DA">
        <w:rPr>
          <w:rFonts w:ascii="Calibri" w:hAnsi="Calibri" w:cs="Calibri"/>
        </w:rPr>
        <w:t xml:space="preserve">, og dels som en afsluttende rapportering på hele programmet. </w:t>
      </w:r>
      <w:r w:rsidR="0077077F">
        <w:rPr>
          <w:rFonts w:ascii="Calibri" w:hAnsi="Calibri" w:cs="Calibri"/>
        </w:rPr>
        <w:t>Deadline for den afsluttende rapportering er 1. marts som for de øvrige år i programperioden.</w:t>
      </w:r>
    </w:p>
    <w:p w14:paraId="5E122D42" w14:textId="77777777" w:rsidR="009C7458" w:rsidRPr="004950DA" w:rsidRDefault="009C7458" w:rsidP="00647074">
      <w:pPr>
        <w:rPr>
          <w:rFonts w:ascii="Calibri" w:hAnsi="Calibri" w:cs="Calibri"/>
        </w:rPr>
      </w:pPr>
    </w:p>
    <w:p w14:paraId="2A3AE557" w14:textId="3513DAB3" w:rsidR="00647074" w:rsidRPr="004950DA" w:rsidRDefault="00647074" w:rsidP="00647074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10" w:name="_Toc170751783"/>
      <w:r w:rsidRPr="004950DA">
        <w:rPr>
          <w:rFonts w:ascii="Calibri" w:hAnsi="Calibri" w:cs="Calibri"/>
        </w:rPr>
        <w:t>Evalueringer</w:t>
      </w:r>
      <w:bookmarkEnd w:id="10"/>
    </w:p>
    <w:p w14:paraId="400C35C2" w14:textId="0E05401C" w:rsidR="004735CF" w:rsidRDefault="004735CF" w:rsidP="004735CF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Følgende regler gør sig gældende for evaluering og læring i forbindelse med en programbevilling i Handicappuljen.</w:t>
      </w:r>
    </w:p>
    <w:p w14:paraId="75DE69C8" w14:textId="77777777" w:rsidR="006D68CB" w:rsidRPr="004950DA" w:rsidRDefault="006D68CB" w:rsidP="004735CF">
      <w:pPr>
        <w:rPr>
          <w:rFonts w:ascii="Calibri" w:hAnsi="Calibri" w:cs="Calibri"/>
        </w:rPr>
      </w:pPr>
    </w:p>
    <w:p w14:paraId="437EF3AC" w14:textId="3A0BC515" w:rsidR="00532A9A" w:rsidRPr="004950DA" w:rsidRDefault="001060BA" w:rsidP="001060BA">
      <w:pPr>
        <w:pStyle w:val="Overskrift3"/>
        <w:rPr>
          <w:rFonts w:ascii="Calibri" w:hAnsi="Calibri" w:cs="Calibri"/>
        </w:rPr>
      </w:pPr>
      <w:bookmarkStart w:id="11" w:name="_Toc170751784"/>
      <w:r>
        <w:rPr>
          <w:rFonts w:ascii="Calibri" w:hAnsi="Calibri" w:cs="Calibri"/>
        </w:rPr>
        <w:t>3.1</w:t>
      </w:r>
      <w:r w:rsidR="00860165" w:rsidRPr="004950DA">
        <w:rPr>
          <w:rFonts w:ascii="Calibri" w:hAnsi="Calibri" w:cs="Calibri"/>
        </w:rPr>
        <w:t xml:space="preserve"> </w:t>
      </w:r>
      <w:r w:rsidR="008A7C44" w:rsidRPr="004950DA">
        <w:rPr>
          <w:rFonts w:ascii="Calibri" w:hAnsi="Calibri" w:cs="Calibri"/>
        </w:rPr>
        <w:t>Midtvejs</w:t>
      </w:r>
      <w:r w:rsidR="00DD010A" w:rsidRPr="004950DA">
        <w:rPr>
          <w:rFonts w:ascii="Calibri" w:hAnsi="Calibri" w:cs="Calibri"/>
        </w:rPr>
        <w:t xml:space="preserve">evaluering </w:t>
      </w:r>
      <w:r w:rsidR="00705D10">
        <w:rPr>
          <w:rFonts w:ascii="Calibri" w:hAnsi="Calibri" w:cs="Calibri"/>
        </w:rPr>
        <w:t>(intern)</w:t>
      </w:r>
      <w:bookmarkEnd w:id="11"/>
    </w:p>
    <w:p w14:paraId="22458DDA" w14:textId="6C3CDA3D" w:rsidR="00ED70F4" w:rsidRPr="00C768E2" w:rsidRDefault="00DD010A" w:rsidP="00ED70F4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Den danske bevillingshaver skal ca.</w:t>
      </w:r>
      <w:r w:rsidR="006250C9" w:rsidRPr="004950DA">
        <w:rPr>
          <w:rFonts w:ascii="Calibri" w:hAnsi="Calibri" w:cs="Calibri"/>
        </w:rPr>
        <w:t xml:space="preserve"> halvvejs i programmet </w:t>
      </w:r>
      <w:r w:rsidR="00206FA8">
        <w:rPr>
          <w:rFonts w:ascii="Calibri" w:hAnsi="Calibri" w:cs="Calibri"/>
        </w:rPr>
        <w:t>sørge for at der bliver lavet</w:t>
      </w:r>
      <w:r w:rsidR="00206FA8" w:rsidRPr="004950DA">
        <w:rPr>
          <w:rFonts w:ascii="Calibri" w:hAnsi="Calibri" w:cs="Calibri"/>
        </w:rPr>
        <w:t xml:space="preserve"> </w:t>
      </w:r>
      <w:r w:rsidR="00B36281" w:rsidRPr="004950DA">
        <w:rPr>
          <w:rFonts w:ascii="Calibri" w:hAnsi="Calibri" w:cs="Calibri"/>
        </w:rPr>
        <w:t>e</w:t>
      </w:r>
      <w:r w:rsidRPr="004950DA">
        <w:rPr>
          <w:rFonts w:ascii="Calibri" w:hAnsi="Calibri" w:cs="Calibri"/>
        </w:rPr>
        <w:t>n</w:t>
      </w:r>
      <w:r w:rsidR="00B36281" w:rsidRPr="004950DA">
        <w:rPr>
          <w:rFonts w:ascii="Calibri" w:hAnsi="Calibri" w:cs="Calibri"/>
        </w:rPr>
        <w:t xml:space="preserve"> </w:t>
      </w:r>
      <w:r w:rsidR="00ED70F4">
        <w:rPr>
          <w:rFonts w:ascii="Calibri" w:hAnsi="Calibri" w:cs="Calibri"/>
        </w:rPr>
        <w:t xml:space="preserve">(intern) </w:t>
      </w:r>
      <w:r w:rsidR="00B36281" w:rsidRPr="004950DA">
        <w:rPr>
          <w:rFonts w:ascii="Calibri" w:hAnsi="Calibri" w:cs="Calibri"/>
        </w:rPr>
        <w:t>midtvejs</w:t>
      </w:r>
      <w:r w:rsidRPr="004950DA">
        <w:rPr>
          <w:rFonts w:ascii="Calibri" w:hAnsi="Calibri" w:cs="Calibri"/>
        </w:rPr>
        <w:t>evaluering</w:t>
      </w:r>
      <w:r w:rsidR="0077077F">
        <w:rPr>
          <w:rFonts w:ascii="Calibri" w:hAnsi="Calibri" w:cs="Calibri"/>
        </w:rPr>
        <w:t xml:space="preserve"> (</w:t>
      </w:r>
      <w:r w:rsidR="00103AB5">
        <w:rPr>
          <w:rFonts w:ascii="Calibri" w:hAnsi="Calibri" w:cs="Calibri"/>
        </w:rPr>
        <w:t>Mid Term Review</w:t>
      </w:r>
      <w:r w:rsidR="0077077F">
        <w:rPr>
          <w:rFonts w:ascii="Calibri" w:hAnsi="Calibri" w:cs="Calibri"/>
        </w:rPr>
        <w:t>)</w:t>
      </w:r>
      <w:r w:rsidRPr="004950DA">
        <w:rPr>
          <w:rFonts w:ascii="Calibri" w:hAnsi="Calibri" w:cs="Calibri"/>
        </w:rPr>
        <w:t xml:space="preserve">. </w:t>
      </w:r>
      <w:r w:rsidR="00103AB5">
        <w:rPr>
          <w:rFonts w:ascii="Calibri" w:hAnsi="Calibri" w:cs="Calibri"/>
        </w:rPr>
        <w:t>Midtvejse</w:t>
      </w:r>
      <w:r w:rsidRPr="004950DA">
        <w:rPr>
          <w:rFonts w:ascii="Calibri" w:hAnsi="Calibri" w:cs="Calibri"/>
        </w:rPr>
        <w:t xml:space="preserve">valueringen skal </w:t>
      </w:r>
      <w:r w:rsidR="009C7458" w:rsidRPr="004950DA">
        <w:rPr>
          <w:rFonts w:ascii="Calibri" w:hAnsi="Calibri" w:cs="Calibri"/>
        </w:rPr>
        <w:t xml:space="preserve">supplere de årlige rapporter med en dybere </w:t>
      </w:r>
      <w:r w:rsidR="00967AFC">
        <w:rPr>
          <w:rFonts w:ascii="Calibri" w:hAnsi="Calibri" w:cs="Calibri"/>
        </w:rPr>
        <w:t>analyse</w:t>
      </w:r>
      <w:r w:rsidR="009C7458" w:rsidRPr="004950DA">
        <w:rPr>
          <w:rFonts w:ascii="Calibri" w:hAnsi="Calibri" w:cs="Calibri"/>
        </w:rPr>
        <w:t xml:space="preserve"> </w:t>
      </w:r>
      <w:r w:rsidR="00967AFC">
        <w:rPr>
          <w:rFonts w:ascii="Calibri" w:hAnsi="Calibri" w:cs="Calibri"/>
        </w:rPr>
        <w:t>vedr.</w:t>
      </w:r>
      <w:r w:rsidR="009C7458" w:rsidRPr="004950DA">
        <w:rPr>
          <w:rFonts w:ascii="Calibri" w:hAnsi="Calibri" w:cs="Calibri"/>
        </w:rPr>
        <w:t xml:space="preserve"> programmets </w:t>
      </w:r>
      <w:r w:rsidR="00860165" w:rsidRPr="004950DA">
        <w:rPr>
          <w:rFonts w:ascii="Calibri" w:hAnsi="Calibri" w:cs="Calibri"/>
        </w:rPr>
        <w:t>fremdrift</w:t>
      </w:r>
      <w:r w:rsidR="00103AB5">
        <w:rPr>
          <w:rFonts w:ascii="Calibri" w:hAnsi="Calibri" w:cs="Calibri"/>
        </w:rPr>
        <w:t xml:space="preserve">, tilgang </w:t>
      </w:r>
      <w:r w:rsidR="00860165" w:rsidRPr="004950DA">
        <w:rPr>
          <w:rFonts w:ascii="Calibri" w:hAnsi="Calibri" w:cs="Calibri"/>
        </w:rPr>
        <w:t xml:space="preserve">og </w:t>
      </w:r>
      <w:r w:rsidR="009C7458" w:rsidRPr="004950DA">
        <w:rPr>
          <w:rFonts w:ascii="Calibri" w:hAnsi="Calibri" w:cs="Calibri"/>
        </w:rPr>
        <w:t>resultater</w:t>
      </w:r>
      <w:r w:rsidR="00ED70F4">
        <w:rPr>
          <w:rFonts w:ascii="Calibri" w:hAnsi="Calibri" w:cs="Calibri"/>
        </w:rPr>
        <w:t xml:space="preserve">. </w:t>
      </w:r>
      <w:r w:rsidR="00ED70F4" w:rsidRPr="00C768E2">
        <w:rPr>
          <w:rFonts w:ascii="Calibri" w:hAnsi="Calibri" w:cs="Calibri"/>
        </w:rPr>
        <w:t>Formålet med midtvejs</w:t>
      </w:r>
      <w:r w:rsidR="00ED70F4">
        <w:rPr>
          <w:rFonts w:ascii="Calibri" w:hAnsi="Calibri" w:cs="Calibri"/>
        </w:rPr>
        <w:t>evalueringen</w:t>
      </w:r>
      <w:r w:rsidR="00ED70F4" w:rsidRPr="00C768E2">
        <w:rPr>
          <w:rFonts w:ascii="Calibri" w:hAnsi="Calibri" w:cs="Calibri"/>
        </w:rPr>
        <w:t xml:space="preserve"> er halvvejs inde i programmet at:</w:t>
      </w:r>
    </w:p>
    <w:p w14:paraId="615FAEF9" w14:textId="77777777" w:rsidR="00ED70F4" w:rsidRPr="00C768E2" w:rsidRDefault="00ED70F4" w:rsidP="00ED70F4">
      <w:pPr>
        <w:pStyle w:val="Listeafsnit"/>
        <w:numPr>
          <w:ilvl w:val="0"/>
          <w:numId w:val="21"/>
        </w:numPr>
        <w:rPr>
          <w:rFonts w:ascii="Calibri" w:hAnsi="Calibri" w:cs="Calibri"/>
        </w:rPr>
      </w:pPr>
      <w:r w:rsidRPr="00C768E2">
        <w:rPr>
          <w:rFonts w:ascii="Calibri" w:hAnsi="Calibri" w:cs="Calibri"/>
        </w:rPr>
        <w:t>Dokumentere status på programmet på output og outcomeniveau</w:t>
      </w:r>
    </w:p>
    <w:p w14:paraId="2EC86AF0" w14:textId="77777777" w:rsidR="00ED70F4" w:rsidRPr="00C768E2" w:rsidRDefault="00ED70F4" w:rsidP="00ED70F4">
      <w:pPr>
        <w:pStyle w:val="Listeafsnit"/>
        <w:numPr>
          <w:ilvl w:val="0"/>
          <w:numId w:val="21"/>
        </w:numPr>
        <w:rPr>
          <w:rFonts w:ascii="Calibri" w:hAnsi="Calibri" w:cs="Calibri"/>
        </w:rPr>
      </w:pPr>
      <w:r w:rsidRPr="00C768E2">
        <w:rPr>
          <w:rFonts w:ascii="Calibri" w:hAnsi="Calibri" w:cs="Calibri"/>
        </w:rPr>
        <w:t>Genbese risikoanalysen, samt de antagelser programmet og dets tilgange bygger på</w:t>
      </w:r>
    </w:p>
    <w:p w14:paraId="59BB42EA" w14:textId="75881B9E" w:rsidR="00ED70F4" w:rsidRPr="00C768E2" w:rsidRDefault="00ED70F4" w:rsidP="00ED70F4">
      <w:pPr>
        <w:pStyle w:val="Listeafsnit"/>
        <w:numPr>
          <w:ilvl w:val="0"/>
          <w:numId w:val="21"/>
        </w:numPr>
        <w:rPr>
          <w:rFonts w:ascii="Calibri" w:hAnsi="Calibri" w:cs="Calibri"/>
        </w:rPr>
      </w:pPr>
      <w:r w:rsidRPr="00C768E2">
        <w:rPr>
          <w:rFonts w:ascii="Calibri" w:hAnsi="Calibri" w:cs="Calibri"/>
        </w:rPr>
        <w:t xml:space="preserve">Samle op på erfaringer og </w:t>
      </w:r>
      <w:r w:rsidR="00103AB5">
        <w:rPr>
          <w:rFonts w:ascii="Calibri" w:hAnsi="Calibri" w:cs="Calibri"/>
        </w:rPr>
        <w:t xml:space="preserve">skabe rum for at </w:t>
      </w:r>
      <w:r w:rsidRPr="00C768E2">
        <w:rPr>
          <w:rFonts w:ascii="Calibri" w:hAnsi="Calibri" w:cs="Calibri"/>
        </w:rPr>
        <w:t xml:space="preserve">vurdere, hvorvidt der er behov for at justere i tilgang, målgrupper, budget, forventede resultater eller andet. </w:t>
      </w:r>
    </w:p>
    <w:p w14:paraId="144CBAF7" w14:textId="546F992B" w:rsidR="00860165" w:rsidRPr="004950DA" w:rsidRDefault="00103AB5" w:rsidP="00860165">
      <w:pPr>
        <w:rPr>
          <w:rFonts w:ascii="Calibri" w:hAnsi="Calibri" w:cs="Calibri"/>
        </w:rPr>
      </w:pPr>
      <w:r>
        <w:rPr>
          <w:rFonts w:ascii="Calibri" w:hAnsi="Calibri" w:cs="Calibri"/>
        </w:rPr>
        <w:t>Midtvejse</w:t>
      </w:r>
      <w:r w:rsidR="00860165" w:rsidRPr="004950DA">
        <w:rPr>
          <w:rFonts w:ascii="Calibri" w:hAnsi="Calibri" w:cs="Calibri"/>
        </w:rPr>
        <w:t xml:space="preserve">valueringen skal </w:t>
      </w:r>
      <w:r>
        <w:rPr>
          <w:rFonts w:ascii="Calibri" w:hAnsi="Calibri" w:cs="Calibri"/>
        </w:rPr>
        <w:t>munde ud</w:t>
      </w:r>
      <w:r w:rsidR="00860165" w:rsidRPr="004950DA">
        <w:rPr>
          <w:rFonts w:ascii="Calibri" w:hAnsi="Calibri" w:cs="Calibri"/>
        </w:rPr>
        <w:t xml:space="preserve"> i en </w:t>
      </w:r>
      <w:r w:rsidR="00206FA8">
        <w:rPr>
          <w:rFonts w:ascii="Calibri" w:hAnsi="Calibri" w:cs="Calibri"/>
        </w:rPr>
        <w:t xml:space="preserve">kort rapport og </w:t>
      </w:r>
      <w:r w:rsidR="00860165" w:rsidRPr="004950DA">
        <w:rPr>
          <w:rFonts w:ascii="Calibri" w:hAnsi="Calibri" w:cs="Calibri"/>
        </w:rPr>
        <w:t xml:space="preserve">handlingsplan for, hvordan den danske bevillingshaver og dennes partnere vil adressere de udfordringer, nye muligheder og </w:t>
      </w:r>
      <w:r>
        <w:rPr>
          <w:rFonts w:ascii="Calibri" w:hAnsi="Calibri" w:cs="Calibri"/>
        </w:rPr>
        <w:t xml:space="preserve">indsigter, som </w:t>
      </w:r>
      <w:r w:rsidR="00ED70F4">
        <w:rPr>
          <w:rFonts w:ascii="Calibri" w:hAnsi="Calibri" w:cs="Calibri"/>
        </w:rPr>
        <w:t>midtvejs</w:t>
      </w:r>
      <w:r w:rsidR="00860165" w:rsidRPr="004950DA">
        <w:rPr>
          <w:rFonts w:ascii="Calibri" w:hAnsi="Calibri" w:cs="Calibri"/>
        </w:rPr>
        <w:t>evalueringen har afdækket</w:t>
      </w:r>
      <w:r w:rsidR="00705D10">
        <w:rPr>
          <w:rFonts w:ascii="Calibri" w:hAnsi="Calibri" w:cs="Calibri"/>
        </w:rPr>
        <w:t xml:space="preserve"> i den resterende programperiode</w:t>
      </w:r>
      <w:r w:rsidR="00860165" w:rsidRPr="004950DA">
        <w:rPr>
          <w:rFonts w:ascii="Calibri" w:hAnsi="Calibri" w:cs="Calibri"/>
        </w:rPr>
        <w:t xml:space="preserve">. </w:t>
      </w:r>
      <w:r w:rsidR="00206FA8">
        <w:rPr>
          <w:rFonts w:ascii="Calibri" w:hAnsi="Calibri" w:cs="Calibri"/>
        </w:rPr>
        <w:t xml:space="preserve">Rapporten og handlingsplanen vil </w:t>
      </w:r>
      <w:r w:rsidR="00705D10">
        <w:rPr>
          <w:rFonts w:ascii="Calibri" w:hAnsi="Calibri" w:cs="Calibri"/>
        </w:rPr>
        <w:t>endvidere f</w:t>
      </w:r>
      <w:r w:rsidR="00206FA8" w:rsidRPr="004950DA">
        <w:rPr>
          <w:rFonts w:ascii="Calibri" w:hAnsi="Calibri" w:cs="Calibri"/>
        </w:rPr>
        <w:t>øde ind i de</w:t>
      </w:r>
      <w:r w:rsidR="001060BA">
        <w:rPr>
          <w:rFonts w:ascii="Calibri" w:hAnsi="Calibri" w:cs="Calibri"/>
        </w:rPr>
        <w:t>n</w:t>
      </w:r>
      <w:r w:rsidR="00206FA8" w:rsidRPr="004950DA">
        <w:rPr>
          <w:rFonts w:ascii="Calibri" w:hAnsi="Calibri" w:cs="Calibri"/>
        </w:rPr>
        <w:t xml:space="preserve"> eksterne </w:t>
      </w:r>
      <w:r w:rsidR="00206FA8">
        <w:rPr>
          <w:rFonts w:ascii="Calibri" w:hAnsi="Calibri" w:cs="Calibri"/>
        </w:rPr>
        <w:t>program</w:t>
      </w:r>
      <w:r w:rsidR="006D68CB">
        <w:rPr>
          <w:rFonts w:ascii="Calibri" w:hAnsi="Calibri" w:cs="Calibri"/>
        </w:rPr>
        <w:t>evaluering</w:t>
      </w:r>
      <w:r w:rsidR="00206FA8">
        <w:rPr>
          <w:rFonts w:ascii="Calibri" w:hAnsi="Calibri" w:cs="Calibri"/>
        </w:rPr>
        <w:t>,</w:t>
      </w:r>
      <w:r w:rsidR="00206FA8" w:rsidRPr="004950DA">
        <w:rPr>
          <w:rFonts w:ascii="Calibri" w:hAnsi="Calibri" w:cs="Calibri"/>
        </w:rPr>
        <w:t xml:space="preserve"> som DH gennemfører i perioden Q4 2027- Q</w:t>
      </w:r>
      <w:r w:rsidR="00206FA8">
        <w:rPr>
          <w:rFonts w:ascii="Calibri" w:hAnsi="Calibri" w:cs="Calibri"/>
        </w:rPr>
        <w:t>1</w:t>
      </w:r>
      <w:r w:rsidR="00206FA8" w:rsidRPr="004950DA">
        <w:rPr>
          <w:rFonts w:ascii="Calibri" w:hAnsi="Calibri" w:cs="Calibri"/>
        </w:rPr>
        <w:t xml:space="preserve"> 2028.</w:t>
      </w:r>
    </w:p>
    <w:p w14:paraId="0017B255" w14:textId="43B4D050" w:rsidR="008A7C44" w:rsidRPr="004950DA" w:rsidRDefault="00860165" w:rsidP="008A7C44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Den danske bevillingshaver </w:t>
      </w:r>
      <w:r w:rsidR="00103AB5">
        <w:rPr>
          <w:rFonts w:ascii="Calibri" w:hAnsi="Calibri" w:cs="Calibri"/>
        </w:rPr>
        <w:t>vurderer</w:t>
      </w:r>
      <w:r w:rsidR="00103AB5" w:rsidRPr="004950DA">
        <w:rPr>
          <w:rFonts w:ascii="Calibri" w:hAnsi="Calibri" w:cs="Calibri"/>
        </w:rPr>
        <w:t xml:space="preserve"> </w:t>
      </w:r>
      <w:r w:rsidR="00B36281" w:rsidRPr="004950DA">
        <w:rPr>
          <w:rFonts w:ascii="Calibri" w:hAnsi="Calibri" w:cs="Calibri"/>
        </w:rPr>
        <w:t>selv</w:t>
      </w:r>
      <w:r w:rsidR="00103AB5">
        <w:rPr>
          <w:rFonts w:ascii="Calibri" w:hAnsi="Calibri" w:cs="Calibri"/>
        </w:rPr>
        <w:t>,</w:t>
      </w:r>
      <w:r w:rsidR="00967AFC">
        <w:rPr>
          <w:rFonts w:ascii="Calibri" w:hAnsi="Calibri" w:cs="Calibri"/>
        </w:rPr>
        <w:t xml:space="preserve"> om</w:t>
      </w:r>
      <w:r w:rsidR="005B6E55" w:rsidRPr="004950DA">
        <w:rPr>
          <w:rFonts w:ascii="Calibri" w:hAnsi="Calibri" w:cs="Calibri"/>
        </w:rPr>
        <w:t xml:space="preserve"> </w:t>
      </w:r>
      <w:r w:rsidR="00705D10">
        <w:rPr>
          <w:rFonts w:ascii="Calibri" w:hAnsi="Calibri" w:cs="Calibri"/>
        </w:rPr>
        <w:t>midtvejs</w:t>
      </w:r>
      <w:r w:rsidR="00DD010A" w:rsidRPr="004950DA">
        <w:rPr>
          <w:rFonts w:ascii="Calibri" w:hAnsi="Calibri" w:cs="Calibri"/>
        </w:rPr>
        <w:t>evaluering</w:t>
      </w:r>
      <w:r w:rsidR="00705D10">
        <w:rPr>
          <w:rFonts w:ascii="Calibri" w:hAnsi="Calibri" w:cs="Calibri"/>
        </w:rPr>
        <w:t>en skal laves internt eller ved hjælp af eksterne konsulenter</w:t>
      </w:r>
      <w:r w:rsidR="00B36281" w:rsidRPr="004950DA">
        <w:rPr>
          <w:rFonts w:ascii="Calibri" w:hAnsi="Calibri" w:cs="Calibri"/>
        </w:rPr>
        <w:t xml:space="preserve"> og skal sørge for </w:t>
      </w:r>
      <w:r w:rsidR="005B6E55" w:rsidRPr="004950DA">
        <w:rPr>
          <w:rFonts w:ascii="Calibri" w:hAnsi="Calibri" w:cs="Calibri"/>
        </w:rPr>
        <w:t xml:space="preserve">selv </w:t>
      </w:r>
      <w:r w:rsidR="00B36281" w:rsidRPr="004950DA">
        <w:rPr>
          <w:rFonts w:ascii="Calibri" w:hAnsi="Calibri" w:cs="Calibri"/>
        </w:rPr>
        <w:t xml:space="preserve">at budgettere med udgifter </w:t>
      </w:r>
      <w:r w:rsidR="00DD010A" w:rsidRPr="004950DA">
        <w:rPr>
          <w:rFonts w:ascii="Calibri" w:hAnsi="Calibri" w:cs="Calibri"/>
        </w:rPr>
        <w:t>hertil</w:t>
      </w:r>
      <w:r w:rsidR="005B6E55" w:rsidRPr="004950DA">
        <w:rPr>
          <w:rFonts w:ascii="Calibri" w:hAnsi="Calibri" w:cs="Calibri"/>
        </w:rPr>
        <w:t>.</w:t>
      </w:r>
      <w:r w:rsidR="00206FA8">
        <w:rPr>
          <w:rFonts w:ascii="Calibri" w:hAnsi="Calibri" w:cs="Calibri"/>
        </w:rPr>
        <w:t xml:space="preserve"> </w:t>
      </w:r>
    </w:p>
    <w:p w14:paraId="4B633090" w14:textId="5B484AD7" w:rsidR="00DD010A" w:rsidRPr="004950DA" w:rsidRDefault="00DD010A" w:rsidP="00DD010A">
      <w:pPr>
        <w:rPr>
          <w:rFonts w:ascii="Calibri" w:hAnsi="Calibri" w:cs="Calibri"/>
          <w:color w:val="000000" w:themeColor="text1"/>
        </w:rPr>
      </w:pPr>
    </w:p>
    <w:p w14:paraId="01DA8C39" w14:textId="0D7A28A6" w:rsidR="00180BE2" w:rsidRPr="004950DA" w:rsidRDefault="001060BA" w:rsidP="00647074">
      <w:pPr>
        <w:pStyle w:val="Overskrift3"/>
        <w:rPr>
          <w:rFonts w:ascii="Calibri" w:hAnsi="Calibri" w:cs="Calibri"/>
        </w:rPr>
      </w:pPr>
      <w:bookmarkStart w:id="12" w:name="_Toc170751785"/>
      <w:r>
        <w:rPr>
          <w:rFonts w:ascii="Calibri" w:hAnsi="Calibri" w:cs="Calibri"/>
        </w:rPr>
        <w:t>3</w:t>
      </w:r>
      <w:r w:rsidR="00647074" w:rsidRPr="004950DA">
        <w:rPr>
          <w:rFonts w:ascii="Calibri" w:hAnsi="Calibri" w:cs="Calibri"/>
        </w:rPr>
        <w:t xml:space="preserve">.2 </w:t>
      </w:r>
      <w:r w:rsidR="00180BE2" w:rsidRPr="004950DA">
        <w:rPr>
          <w:rFonts w:ascii="Calibri" w:hAnsi="Calibri" w:cs="Calibri"/>
        </w:rPr>
        <w:t xml:space="preserve">Evaluering </w:t>
      </w:r>
      <w:r w:rsidR="00647074" w:rsidRPr="004950DA">
        <w:rPr>
          <w:rFonts w:ascii="Calibri" w:hAnsi="Calibri" w:cs="Calibri"/>
        </w:rPr>
        <w:t>og læringsreviews</w:t>
      </w:r>
      <w:bookmarkEnd w:id="12"/>
    </w:p>
    <w:p w14:paraId="75400C47" w14:textId="3D4996B2" w:rsidR="00860165" w:rsidRPr="004950DA" w:rsidRDefault="00D05718" w:rsidP="008601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Som led i den fælles </w:t>
      </w:r>
      <w:r w:rsidR="00860165" w:rsidRPr="004950DA">
        <w:rPr>
          <w:rFonts w:ascii="Calibri" w:hAnsi="Calibri" w:cs="Calibri"/>
        </w:rPr>
        <w:t xml:space="preserve">læring og synergi </w:t>
      </w:r>
      <w:r>
        <w:rPr>
          <w:rFonts w:ascii="Calibri" w:hAnsi="Calibri" w:cs="Calibri"/>
        </w:rPr>
        <w:t xml:space="preserve">i et program, anbefaler DH af overveje at </w:t>
      </w:r>
      <w:r w:rsidR="00860165" w:rsidRPr="004950DA">
        <w:rPr>
          <w:rFonts w:ascii="Calibri" w:hAnsi="Calibri" w:cs="Calibri"/>
        </w:rPr>
        <w:t xml:space="preserve">sætte midler af til en tværgående ekstern evaluering eller tværgående læringsstudie med fokus på et eller flere emner af specifik relevans for det pågældende program. </w:t>
      </w:r>
    </w:p>
    <w:p w14:paraId="73F81028" w14:textId="5853F763" w:rsidR="00860165" w:rsidRPr="004950DA" w:rsidRDefault="00180BE2" w:rsidP="003707AA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DH stiller ikke krav om</w:t>
      </w:r>
      <w:r w:rsidR="00DB5379" w:rsidRPr="004950DA">
        <w:rPr>
          <w:rFonts w:ascii="Calibri" w:hAnsi="Calibri" w:cs="Calibri"/>
        </w:rPr>
        <w:t xml:space="preserve"> </w:t>
      </w:r>
      <w:r w:rsidR="00CA0374" w:rsidRPr="004950DA">
        <w:rPr>
          <w:rFonts w:ascii="Calibri" w:hAnsi="Calibri" w:cs="Calibri"/>
        </w:rPr>
        <w:t xml:space="preserve">et sådan læringsstudie/evaluering. </w:t>
      </w:r>
      <w:r w:rsidR="003707AA" w:rsidRPr="004950DA">
        <w:rPr>
          <w:rFonts w:ascii="Calibri" w:hAnsi="Calibri" w:cs="Calibri"/>
        </w:rPr>
        <w:t xml:space="preserve">Dog kan der i forbindelse med </w:t>
      </w:r>
      <w:r w:rsidR="0017734F" w:rsidRPr="004950DA">
        <w:rPr>
          <w:rFonts w:ascii="Calibri" w:hAnsi="Calibri" w:cs="Calibri"/>
        </w:rPr>
        <w:t>kapacitetsanalyse</w:t>
      </w:r>
      <w:r w:rsidR="003707AA" w:rsidRPr="004950DA">
        <w:rPr>
          <w:rFonts w:ascii="Calibri" w:hAnsi="Calibri" w:cs="Calibri"/>
        </w:rPr>
        <w:t>r</w:t>
      </w:r>
      <w:r w:rsidR="0017734F" w:rsidRPr="004950DA">
        <w:rPr>
          <w:rFonts w:ascii="Calibri" w:hAnsi="Calibri" w:cs="Calibri"/>
        </w:rPr>
        <w:t>,</w:t>
      </w:r>
      <w:r w:rsidR="003707AA" w:rsidRPr="004950DA">
        <w:rPr>
          <w:rFonts w:ascii="Calibri" w:hAnsi="Calibri" w:cs="Calibri"/>
        </w:rPr>
        <w:t xml:space="preserve"> </w:t>
      </w:r>
      <w:r w:rsidR="00E569E7">
        <w:rPr>
          <w:rFonts w:ascii="Calibri" w:hAnsi="Calibri" w:cs="Calibri"/>
        </w:rPr>
        <w:t>evalueringer</w:t>
      </w:r>
      <w:r w:rsidR="003707AA" w:rsidRPr="004950DA">
        <w:rPr>
          <w:rFonts w:ascii="Calibri" w:hAnsi="Calibri" w:cs="Calibri"/>
        </w:rPr>
        <w:t xml:space="preserve">, tilsyn mv. være </w:t>
      </w:r>
      <w:r w:rsidR="00D05718">
        <w:rPr>
          <w:rFonts w:ascii="Calibri" w:hAnsi="Calibri" w:cs="Calibri"/>
        </w:rPr>
        <w:t>lavet anbefaling</w:t>
      </w:r>
      <w:r w:rsidR="003707AA" w:rsidRPr="004950DA">
        <w:rPr>
          <w:rFonts w:ascii="Calibri" w:hAnsi="Calibri" w:cs="Calibri"/>
        </w:rPr>
        <w:t xml:space="preserve"> hero</w:t>
      </w:r>
      <w:r w:rsidR="006332CC">
        <w:rPr>
          <w:rFonts w:ascii="Calibri" w:hAnsi="Calibri" w:cs="Calibri"/>
        </w:rPr>
        <w:t>m.</w:t>
      </w:r>
      <w:r w:rsidR="0017734F" w:rsidRPr="004950DA">
        <w:rPr>
          <w:rFonts w:ascii="Calibri" w:hAnsi="Calibri" w:cs="Calibri"/>
        </w:rPr>
        <w:t xml:space="preserve"> </w:t>
      </w:r>
    </w:p>
    <w:p w14:paraId="4354DBC9" w14:textId="77777777" w:rsidR="00B52ABA" w:rsidRPr="004950DA" w:rsidRDefault="00B52ABA" w:rsidP="00180BE2">
      <w:pPr>
        <w:rPr>
          <w:rFonts w:ascii="Calibri" w:hAnsi="Calibri" w:cs="Calibri"/>
        </w:rPr>
      </w:pPr>
    </w:p>
    <w:p w14:paraId="6FCA0F5D" w14:textId="2AA3FBD8" w:rsidR="0017734F" w:rsidRPr="004950DA" w:rsidRDefault="001060BA" w:rsidP="00647074">
      <w:pPr>
        <w:pStyle w:val="Overskrift3"/>
        <w:rPr>
          <w:rFonts w:ascii="Calibri" w:hAnsi="Calibri" w:cs="Calibri"/>
        </w:rPr>
      </w:pPr>
      <w:bookmarkStart w:id="13" w:name="_Toc170751786"/>
      <w:r>
        <w:rPr>
          <w:rFonts w:ascii="Calibri" w:hAnsi="Calibri" w:cs="Calibri"/>
        </w:rPr>
        <w:lastRenderedPageBreak/>
        <w:t>3</w:t>
      </w:r>
      <w:r w:rsidR="00647074" w:rsidRPr="004950DA">
        <w:rPr>
          <w:rFonts w:ascii="Calibri" w:hAnsi="Calibri" w:cs="Calibri"/>
        </w:rPr>
        <w:t xml:space="preserve">.3 </w:t>
      </w:r>
      <w:r w:rsidR="00C90136">
        <w:rPr>
          <w:rFonts w:ascii="Calibri" w:hAnsi="Calibri" w:cs="Calibri"/>
        </w:rPr>
        <w:t>Eksternt program</w:t>
      </w:r>
      <w:r w:rsidR="00E569E7">
        <w:rPr>
          <w:rFonts w:ascii="Calibri" w:hAnsi="Calibri" w:cs="Calibri"/>
        </w:rPr>
        <w:t>evaluering</w:t>
      </w:r>
      <w:bookmarkEnd w:id="13"/>
      <w:r w:rsidR="00DB5379" w:rsidRPr="004950DA">
        <w:rPr>
          <w:rFonts w:ascii="Calibri" w:hAnsi="Calibri" w:cs="Calibri"/>
        </w:rPr>
        <w:t xml:space="preserve"> </w:t>
      </w:r>
    </w:p>
    <w:p w14:paraId="363344A9" w14:textId="274C2002" w:rsidR="003707AA" w:rsidRPr="004950DA" w:rsidRDefault="00DB5379" w:rsidP="00180BE2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DH gennemfører i </w:t>
      </w:r>
      <w:r w:rsidR="003707AA" w:rsidRPr="004950DA">
        <w:rPr>
          <w:rFonts w:ascii="Calibri" w:hAnsi="Calibri" w:cs="Calibri"/>
        </w:rPr>
        <w:t>Q3 2027</w:t>
      </w:r>
      <w:r w:rsidRPr="004950DA">
        <w:rPr>
          <w:rFonts w:ascii="Calibri" w:hAnsi="Calibri" w:cs="Calibri"/>
        </w:rPr>
        <w:t xml:space="preserve"> / </w:t>
      </w:r>
      <w:r w:rsidR="003707AA" w:rsidRPr="004950DA">
        <w:rPr>
          <w:rFonts w:ascii="Calibri" w:hAnsi="Calibri" w:cs="Calibri"/>
        </w:rPr>
        <w:t xml:space="preserve">Q1 2028 </w:t>
      </w:r>
      <w:r w:rsidRPr="004950DA">
        <w:rPr>
          <w:rFonts w:ascii="Calibri" w:hAnsi="Calibri" w:cs="Calibri"/>
        </w:rPr>
        <w:t>e</w:t>
      </w:r>
      <w:r w:rsidR="00C90136">
        <w:rPr>
          <w:rFonts w:ascii="Calibri" w:hAnsi="Calibri" w:cs="Calibri"/>
        </w:rPr>
        <w:t>n</w:t>
      </w:r>
      <w:r w:rsidRPr="004950DA">
        <w:rPr>
          <w:rFonts w:ascii="Calibri" w:hAnsi="Calibri" w:cs="Calibri"/>
        </w:rPr>
        <w:t xml:space="preserve"> ekstern </w:t>
      </w:r>
      <w:r w:rsidR="00C90136">
        <w:rPr>
          <w:rFonts w:ascii="Calibri" w:hAnsi="Calibri" w:cs="Calibri"/>
        </w:rPr>
        <w:t>program</w:t>
      </w:r>
      <w:r w:rsidR="00E569E7">
        <w:rPr>
          <w:rFonts w:ascii="Calibri" w:hAnsi="Calibri" w:cs="Calibri"/>
        </w:rPr>
        <w:t>evaluering</w:t>
      </w:r>
      <w:r w:rsidRPr="004950DA">
        <w:rPr>
          <w:rFonts w:ascii="Calibri" w:hAnsi="Calibri" w:cs="Calibri"/>
        </w:rPr>
        <w:t xml:space="preserve"> af </w:t>
      </w:r>
      <w:r w:rsidR="00C90136">
        <w:rPr>
          <w:rFonts w:ascii="Calibri" w:hAnsi="Calibri" w:cs="Calibri"/>
        </w:rPr>
        <w:t>hver af de bevilgede programmer under Handicappuljen</w:t>
      </w:r>
      <w:r w:rsidRPr="004950DA">
        <w:rPr>
          <w:rFonts w:ascii="Calibri" w:hAnsi="Calibri" w:cs="Calibri"/>
        </w:rPr>
        <w:t xml:space="preserve">. </w:t>
      </w:r>
    </w:p>
    <w:p w14:paraId="098D7FE7" w14:textId="284C3BF9" w:rsidR="003A3D0E" w:rsidRPr="004950DA" w:rsidRDefault="00DB5379" w:rsidP="00180BE2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Formålet med </w:t>
      </w:r>
      <w:r w:rsidR="00C90136">
        <w:rPr>
          <w:rFonts w:ascii="Calibri" w:hAnsi="Calibri" w:cs="Calibri"/>
        </w:rPr>
        <w:t>de</w:t>
      </w:r>
      <w:r w:rsidR="00E569E7">
        <w:rPr>
          <w:rFonts w:ascii="Calibri" w:hAnsi="Calibri" w:cs="Calibri"/>
        </w:rPr>
        <w:t>n</w:t>
      </w:r>
      <w:r w:rsidR="00C90136">
        <w:rPr>
          <w:rFonts w:ascii="Calibri" w:hAnsi="Calibri" w:cs="Calibri"/>
        </w:rPr>
        <w:t xml:space="preserve"> eksterne </w:t>
      </w:r>
      <w:r w:rsidR="00E569E7">
        <w:rPr>
          <w:rFonts w:ascii="Calibri" w:hAnsi="Calibri" w:cs="Calibri"/>
        </w:rPr>
        <w:t>evaluering</w:t>
      </w:r>
      <w:r w:rsidRPr="004950DA">
        <w:rPr>
          <w:rFonts w:ascii="Calibri" w:hAnsi="Calibri" w:cs="Calibri"/>
        </w:rPr>
        <w:t xml:space="preserve"> </w:t>
      </w:r>
      <w:r w:rsidR="003A3D0E" w:rsidRPr="004950DA">
        <w:rPr>
          <w:rFonts w:ascii="Calibri" w:hAnsi="Calibri" w:cs="Calibri"/>
        </w:rPr>
        <w:t>vil dels være at:</w:t>
      </w:r>
    </w:p>
    <w:p w14:paraId="6A0BD1E1" w14:textId="08C0A8D7" w:rsidR="003707AA" w:rsidRPr="004950DA" w:rsidRDefault="006332CC" w:rsidP="0054141A">
      <w:pPr>
        <w:pStyle w:val="Listeafsnit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Vurdere</w:t>
      </w:r>
      <w:r w:rsidR="003A3D0E" w:rsidRPr="004950DA">
        <w:rPr>
          <w:rFonts w:ascii="Calibri" w:hAnsi="Calibri" w:cs="Calibri"/>
        </w:rPr>
        <w:t xml:space="preserve"> den danske organisations </w:t>
      </w:r>
      <w:r>
        <w:rPr>
          <w:rFonts w:ascii="Calibri" w:hAnsi="Calibri" w:cs="Calibri"/>
        </w:rPr>
        <w:t>forvaltning</w:t>
      </w:r>
      <w:r w:rsidR="003A3D0E" w:rsidRPr="004950DA">
        <w:rPr>
          <w:rFonts w:ascii="Calibri" w:hAnsi="Calibri" w:cs="Calibri"/>
        </w:rPr>
        <w:t xml:space="preserve"> af programmet, herunder </w:t>
      </w:r>
      <w:r>
        <w:rPr>
          <w:rFonts w:ascii="Calibri" w:hAnsi="Calibri" w:cs="Calibri"/>
        </w:rPr>
        <w:t xml:space="preserve">af </w:t>
      </w:r>
      <w:r w:rsidR="003A3D0E" w:rsidRPr="004950DA">
        <w:rPr>
          <w:rFonts w:ascii="Calibri" w:hAnsi="Calibri" w:cs="Calibri"/>
        </w:rPr>
        <w:t xml:space="preserve">de specifikke forventninger </w:t>
      </w:r>
      <w:r w:rsidR="00647074" w:rsidRPr="004950DA">
        <w:rPr>
          <w:rFonts w:ascii="Calibri" w:hAnsi="Calibri" w:cs="Calibri"/>
        </w:rPr>
        <w:t>til</w:t>
      </w:r>
      <w:r w:rsidR="003A3D0E" w:rsidRPr="004950DA">
        <w:rPr>
          <w:rFonts w:ascii="Calibri" w:hAnsi="Calibri" w:cs="Calibri"/>
        </w:rPr>
        <w:t xml:space="preserve"> et program omkring synergi, tværgående læring</w:t>
      </w:r>
      <w:r w:rsidR="00F037D9" w:rsidRPr="004950DA">
        <w:rPr>
          <w:rFonts w:ascii="Calibri" w:hAnsi="Calibri" w:cs="Calibri"/>
        </w:rPr>
        <w:t xml:space="preserve"> og </w:t>
      </w:r>
      <w:r w:rsidR="003A3D0E" w:rsidRPr="004950DA">
        <w:rPr>
          <w:rFonts w:ascii="Calibri" w:hAnsi="Calibri" w:cs="Calibri"/>
        </w:rPr>
        <w:t xml:space="preserve">øget lokalt ejerskab; </w:t>
      </w:r>
    </w:p>
    <w:p w14:paraId="3D9F867D" w14:textId="596AB4FD" w:rsidR="003707AA" w:rsidRPr="004950DA" w:rsidRDefault="003707AA" w:rsidP="0054141A">
      <w:pPr>
        <w:pStyle w:val="Listeafsnit"/>
        <w:numPr>
          <w:ilvl w:val="0"/>
          <w:numId w:val="26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E</w:t>
      </w:r>
      <w:r w:rsidR="00D161AC" w:rsidRPr="004950DA">
        <w:rPr>
          <w:rFonts w:ascii="Calibri" w:hAnsi="Calibri" w:cs="Calibri"/>
        </w:rPr>
        <w:t>valuere tilgange i programmet henunder de forudsætninger som tilgangene er baseret på;</w:t>
      </w:r>
    </w:p>
    <w:p w14:paraId="47C59206" w14:textId="6219FF91" w:rsidR="003707AA" w:rsidRPr="004950DA" w:rsidRDefault="003707AA" w:rsidP="0054141A">
      <w:pPr>
        <w:pStyle w:val="Listeafsnit"/>
        <w:numPr>
          <w:ilvl w:val="0"/>
          <w:numId w:val="26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D</w:t>
      </w:r>
      <w:r w:rsidR="003A3D0E" w:rsidRPr="004950DA">
        <w:rPr>
          <w:rFonts w:ascii="Calibri" w:hAnsi="Calibri" w:cs="Calibri"/>
        </w:rPr>
        <w:t xml:space="preserve">okumentere </w:t>
      </w:r>
      <w:r w:rsidR="00647074" w:rsidRPr="004950DA">
        <w:rPr>
          <w:rFonts w:ascii="Calibri" w:hAnsi="Calibri" w:cs="Calibri"/>
        </w:rPr>
        <w:t>erfaringer</w:t>
      </w:r>
      <w:r w:rsidR="00F037D9" w:rsidRPr="004950DA">
        <w:rPr>
          <w:rFonts w:ascii="Calibri" w:hAnsi="Calibri" w:cs="Calibri"/>
        </w:rPr>
        <w:t xml:space="preserve">, </w:t>
      </w:r>
      <w:r w:rsidR="003A3D0E" w:rsidRPr="004950DA">
        <w:rPr>
          <w:rFonts w:ascii="Calibri" w:hAnsi="Calibri" w:cs="Calibri"/>
        </w:rPr>
        <w:t>resultater</w:t>
      </w:r>
      <w:r w:rsidR="006332CC">
        <w:rPr>
          <w:rFonts w:ascii="Calibri" w:hAnsi="Calibri" w:cs="Calibri"/>
        </w:rPr>
        <w:t xml:space="preserve"> og</w:t>
      </w:r>
      <w:r w:rsidR="00F037D9" w:rsidRPr="004950DA">
        <w:rPr>
          <w:rFonts w:ascii="Calibri" w:hAnsi="Calibri" w:cs="Calibri"/>
        </w:rPr>
        <w:t xml:space="preserve"> eksempler på god praksis</w:t>
      </w:r>
      <w:r w:rsidR="00D161AC" w:rsidRPr="004950DA">
        <w:rPr>
          <w:rFonts w:ascii="Calibri" w:hAnsi="Calibri" w:cs="Calibri"/>
        </w:rPr>
        <w:t>;</w:t>
      </w:r>
    </w:p>
    <w:p w14:paraId="6CAB5EC0" w14:textId="21110639" w:rsidR="003707AA" w:rsidRPr="004950DA" w:rsidRDefault="003707AA" w:rsidP="0054141A">
      <w:pPr>
        <w:pStyle w:val="Listeafsnit"/>
        <w:numPr>
          <w:ilvl w:val="0"/>
          <w:numId w:val="26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I</w:t>
      </w:r>
      <w:r w:rsidR="003A3D0E" w:rsidRPr="004950DA">
        <w:rPr>
          <w:rFonts w:ascii="Calibri" w:hAnsi="Calibri" w:cs="Calibri"/>
        </w:rPr>
        <w:t>dentificere tværgående læring</w:t>
      </w:r>
      <w:r w:rsidR="00F037D9" w:rsidRPr="004950DA">
        <w:rPr>
          <w:rFonts w:ascii="Calibri" w:hAnsi="Calibri" w:cs="Calibri"/>
        </w:rPr>
        <w:t xml:space="preserve"> </w:t>
      </w:r>
      <w:r w:rsidR="00D161AC" w:rsidRPr="004950DA">
        <w:rPr>
          <w:rFonts w:ascii="Calibri" w:hAnsi="Calibri" w:cs="Calibri"/>
        </w:rPr>
        <w:t xml:space="preserve">samt </w:t>
      </w:r>
      <w:r w:rsidR="003A3D0E" w:rsidRPr="004950DA">
        <w:rPr>
          <w:rFonts w:ascii="Calibri" w:hAnsi="Calibri" w:cs="Calibri"/>
        </w:rPr>
        <w:t>anbefalinger</w:t>
      </w:r>
      <w:r w:rsidR="00D161AC" w:rsidRPr="004950DA">
        <w:rPr>
          <w:rFonts w:ascii="Calibri" w:hAnsi="Calibri" w:cs="Calibri"/>
        </w:rPr>
        <w:t xml:space="preserve"> til programmet</w:t>
      </w:r>
      <w:r w:rsidR="004D1411" w:rsidRPr="004950DA">
        <w:rPr>
          <w:rFonts w:ascii="Calibri" w:hAnsi="Calibri" w:cs="Calibri"/>
        </w:rPr>
        <w:t>,</w:t>
      </w:r>
    </w:p>
    <w:p w14:paraId="40A42EB8" w14:textId="51B73AC8" w:rsidR="00B52ABA" w:rsidRPr="001060BA" w:rsidRDefault="003707AA" w:rsidP="001060BA">
      <w:pPr>
        <w:pStyle w:val="Listeafsnit"/>
        <w:numPr>
          <w:ilvl w:val="0"/>
          <w:numId w:val="26"/>
        </w:numPr>
        <w:rPr>
          <w:rFonts w:ascii="Calibri" w:hAnsi="Calibri" w:cs="Calibri"/>
        </w:rPr>
      </w:pPr>
      <w:r w:rsidRPr="004950DA">
        <w:rPr>
          <w:rFonts w:ascii="Calibri" w:hAnsi="Calibri" w:cs="Calibri"/>
        </w:rPr>
        <w:t>D</w:t>
      </w:r>
      <w:r w:rsidR="004D1411" w:rsidRPr="004950DA">
        <w:rPr>
          <w:rFonts w:ascii="Calibri" w:hAnsi="Calibri" w:cs="Calibri"/>
        </w:rPr>
        <w:t>okumentere indsatser og anbefalinger på andre dele af programmet end det</w:t>
      </w:r>
      <w:r w:rsidR="006332CC">
        <w:rPr>
          <w:rFonts w:ascii="Calibri" w:hAnsi="Calibri" w:cs="Calibri"/>
        </w:rPr>
        <w:t>,</w:t>
      </w:r>
      <w:r w:rsidR="004D1411" w:rsidRPr="004950DA">
        <w:rPr>
          <w:rFonts w:ascii="Calibri" w:hAnsi="Calibri" w:cs="Calibri"/>
        </w:rPr>
        <w:t xml:space="preserve"> der foregår i Syd, herunder på arbejdet med engagement</w:t>
      </w:r>
      <w:r w:rsidR="00D161AC" w:rsidRPr="004950DA">
        <w:rPr>
          <w:rFonts w:ascii="Calibri" w:hAnsi="Calibri" w:cs="Calibri"/>
        </w:rPr>
        <w:t>.</w:t>
      </w:r>
    </w:p>
    <w:p w14:paraId="0292D7C4" w14:textId="0FA57C87" w:rsidR="00C90136" w:rsidRPr="001060BA" w:rsidRDefault="00C90136" w:rsidP="001060BA">
      <w:pPr>
        <w:rPr>
          <w:rFonts w:ascii="Calibri" w:hAnsi="Calibri" w:cs="Calibri"/>
        </w:rPr>
      </w:pPr>
      <w:r w:rsidRPr="001060BA">
        <w:rPr>
          <w:rFonts w:ascii="Calibri" w:hAnsi="Calibri" w:cs="Calibri"/>
        </w:rPr>
        <w:t>De danske bevillingshavere skal i samarbejde med deres syd</w:t>
      </w:r>
      <w:r w:rsidR="006D68CB" w:rsidRPr="001060BA">
        <w:rPr>
          <w:rFonts w:ascii="Calibri" w:hAnsi="Calibri" w:cs="Calibri"/>
        </w:rPr>
        <w:t>p</w:t>
      </w:r>
      <w:r w:rsidRPr="001060BA">
        <w:rPr>
          <w:rFonts w:ascii="Calibri" w:hAnsi="Calibri" w:cs="Calibri"/>
        </w:rPr>
        <w:t>artnere lave et management response på programevalueringens</w:t>
      </w:r>
    </w:p>
    <w:p w14:paraId="18593D3C" w14:textId="77777777" w:rsidR="006D68CB" w:rsidRDefault="006D68CB" w:rsidP="00B52ABA">
      <w:pPr>
        <w:pStyle w:val="Listeafsnit"/>
        <w:rPr>
          <w:rFonts w:ascii="Calibri" w:hAnsi="Calibri" w:cs="Calibri"/>
        </w:rPr>
      </w:pPr>
    </w:p>
    <w:p w14:paraId="7203E5B0" w14:textId="717BCAD4" w:rsidR="003A3D0E" w:rsidRPr="004950DA" w:rsidRDefault="003A3D0E" w:rsidP="004950DA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14" w:name="_Toc170751787"/>
      <w:r w:rsidRPr="004950DA">
        <w:rPr>
          <w:rFonts w:ascii="Calibri" w:hAnsi="Calibri" w:cs="Calibri"/>
        </w:rPr>
        <w:t xml:space="preserve">Erfaringsudveksling og læring på tværs af </w:t>
      </w:r>
      <w:r w:rsidR="00647074" w:rsidRPr="004950DA">
        <w:rPr>
          <w:rFonts w:ascii="Calibri" w:hAnsi="Calibri" w:cs="Calibri"/>
        </w:rPr>
        <w:t>programmer</w:t>
      </w:r>
      <w:bookmarkEnd w:id="14"/>
    </w:p>
    <w:p w14:paraId="1476F88A" w14:textId="7D56F952" w:rsidR="00647074" w:rsidRPr="004950DA" w:rsidRDefault="00D161AC" w:rsidP="003A3D0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DH ønsker at fremme erfaringsudveksling og læring mellem program</w:t>
      </w:r>
      <w:r w:rsidR="00AA7DF2" w:rsidRPr="004950DA">
        <w:rPr>
          <w:rFonts w:ascii="Calibri" w:hAnsi="Calibri" w:cs="Calibri"/>
        </w:rPr>
        <w:t xml:space="preserve">organisationerne og vil derfor </w:t>
      </w:r>
      <w:r w:rsidR="001F645E" w:rsidRPr="004950DA">
        <w:rPr>
          <w:rFonts w:ascii="Calibri" w:hAnsi="Calibri" w:cs="Calibri"/>
        </w:rPr>
        <w:t xml:space="preserve">invitere til </w:t>
      </w:r>
      <w:r w:rsidR="00D05718">
        <w:rPr>
          <w:rFonts w:ascii="Calibri" w:hAnsi="Calibri" w:cs="Calibri"/>
        </w:rPr>
        <w:t>programmøder</w:t>
      </w:r>
      <w:r w:rsidR="00AA7DF2" w:rsidRPr="004950DA">
        <w:rPr>
          <w:rFonts w:ascii="Calibri" w:hAnsi="Calibri" w:cs="Calibri"/>
        </w:rPr>
        <w:t xml:space="preserve"> </w:t>
      </w:r>
      <w:r w:rsidR="00D05718">
        <w:rPr>
          <w:rFonts w:ascii="Calibri" w:hAnsi="Calibri" w:cs="Calibri"/>
        </w:rPr>
        <w:t xml:space="preserve">med </w:t>
      </w:r>
      <w:r w:rsidR="00AA7DF2" w:rsidRPr="004950DA">
        <w:rPr>
          <w:rFonts w:ascii="Calibri" w:hAnsi="Calibri" w:cs="Calibri"/>
        </w:rPr>
        <w:t>programorganisationerne</w:t>
      </w:r>
      <w:r w:rsidR="004D1411" w:rsidRPr="004950DA">
        <w:rPr>
          <w:rFonts w:ascii="Calibri" w:hAnsi="Calibri" w:cs="Calibri"/>
        </w:rPr>
        <w:t xml:space="preserve">. </w:t>
      </w:r>
    </w:p>
    <w:p w14:paraId="74F885DC" w14:textId="7D6C2EEB" w:rsidR="004C1D21" w:rsidRPr="004950DA" w:rsidRDefault="004D1411" w:rsidP="003A3D0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Derudover vil DH</w:t>
      </w:r>
      <w:r w:rsidR="00F037D9" w:rsidRPr="004950DA">
        <w:rPr>
          <w:rFonts w:ascii="Calibri" w:hAnsi="Calibri" w:cs="Calibri"/>
        </w:rPr>
        <w:t xml:space="preserve"> iværksætte tematiske læringsstudier på tværs af programmer og projekter</w:t>
      </w:r>
      <w:r w:rsidR="00AA7DF2" w:rsidRPr="004950DA">
        <w:rPr>
          <w:rFonts w:ascii="Calibri" w:hAnsi="Calibri" w:cs="Calibri"/>
        </w:rPr>
        <w:t xml:space="preserve"> </w:t>
      </w:r>
      <w:r w:rsidR="00F037D9" w:rsidRPr="004950DA">
        <w:rPr>
          <w:rFonts w:ascii="Calibri" w:hAnsi="Calibri" w:cs="Calibri"/>
        </w:rPr>
        <w:t xml:space="preserve">finansieret af </w:t>
      </w:r>
      <w:r w:rsidR="00AA7DF2" w:rsidRPr="004950DA">
        <w:rPr>
          <w:rFonts w:ascii="Calibri" w:hAnsi="Calibri" w:cs="Calibri"/>
        </w:rPr>
        <w:t xml:space="preserve">Handicappuljen. </w:t>
      </w:r>
      <w:r w:rsidR="00F037D9" w:rsidRPr="004950DA">
        <w:rPr>
          <w:rFonts w:ascii="Calibri" w:hAnsi="Calibri" w:cs="Calibri"/>
        </w:rPr>
        <w:t>Temaer for læringsstudierne vil blive besluttet i tæt dialog med program</w:t>
      </w:r>
      <w:r w:rsidR="006332CC">
        <w:rPr>
          <w:rFonts w:ascii="Calibri" w:hAnsi="Calibri" w:cs="Calibri"/>
        </w:rPr>
        <w:t>-</w:t>
      </w:r>
      <w:r w:rsidR="00F037D9" w:rsidRPr="004950DA">
        <w:rPr>
          <w:rFonts w:ascii="Calibri" w:hAnsi="Calibri" w:cs="Calibri"/>
        </w:rPr>
        <w:t xml:space="preserve"> og projektorganisationerne. </w:t>
      </w:r>
    </w:p>
    <w:p w14:paraId="13E261CC" w14:textId="40F918B0" w:rsidR="004D1411" w:rsidRPr="004950DA" w:rsidRDefault="004C1D21" w:rsidP="003A3D0E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Programorganisationer forventes endvidere fortsat at deltage i relevante følge-, lande- og arbejdsgrupper, ligesom de forventes at deltage i fyraftensmøder, kurser, strategiprocesser og lignende af relevans for arbejdet med partnerskaber, engagement og det politiske fortalerarbejde.</w:t>
      </w:r>
    </w:p>
    <w:p w14:paraId="3FF079F0" w14:textId="77777777" w:rsidR="00B52ABA" w:rsidRPr="004950DA" w:rsidRDefault="00B52ABA" w:rsidP="003A3D0E">
      <w:pPr>
        <w:rPr>
          <w:rFonts w:ascii="Calibri" w:hAnsi="Calibri" w:cs="Calibri"/>
        </w:rPr>
      </w:pPr>
    </w:p>
    <w:p w14:paraId="48D5A61F" w14:textId="39C5C984" w:rsidR="003B6A57" w:rsidRPr="004950DA" w:rsidRDefault="008A7C44" w:rsidP="004950DA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15" w:name="_Toc170751788"/>
      <w:r w:rsidRPr="004950DA">
        <w:rPr>
          <w:rFonts w:ascii="Calibri" w:hAnsi="Calibri" w:cs="Calibri"/>
        </w:rPr>
        <w:t>Organisationsanalyser</w:t>
      </w:r>
      <w:r w:rsidR="003A3D0E" w:rsidRPr="004950DA">
        <w:rPr>
          <w:rFonts w:ascii="Calibri" w:hAnsi="Calibri" w:cs="Calibri"/>
        </w:rPr>
        <w:t xml:space="preserve"> </w:t>
      </w:r>
      <w:r w:rsidR="001F645E" w:rsidRPr="004950DA">
        <w:rPr>
          <w:rFonts w:ascii="Calibri" w:hAnsi="Calibri" w:cs="Calibri"/>
        </w:rPr>
        <w:t>a</w:t>
      </w:r>
      <w:r w:rsidR="003A3D0E" w:rsidRPr="004950DA">
        <w:rPr>
          <w:rFonts w:ascii="Calibri" w:hAnsi="Calibri" w:cs="Calibri"/>
        </w:rPr>
        <w:t xml:space="preserve">f </w:t>
      </w:r>
      <w:r w:rsidR="001F645E" w:rsidRPr="004950DA">
        <w:rPr>
          <w:rFonts w:ascii="Calibri" w:hAnsi="Calibri" w:cs="Calibri"/>
        </w:rPr>
        <w:t xml:space="preserve">Nord- og </w:t>
      </w:r>
      <w:r w:rsidR="003A3D0E" w:rsidRPr="004950DA">
        <w:rPr>
          <w:rFonts w:ascii="Calibri" w:hAnsi="Calibri" w:cs="Calibri"/>
        </w:rPr>
        <w:t>Sydpartnere</w:t>
      </w:r>
      <w:bookmarkEnd w:id="15"/>
    </w:p>
    <w:p w14:paraId="003E221D" w14:textId="7DFF74BC" w:rsidR="00060A46" w:rsidRPr="004950DA" w:rsidRDefault="001060BA" w:rsidP="00060A46">
      <w:pPr>
        <w:pStyle w:val="Overskrift3"/>
        <w:rPr>
          <w:rFonts w:ascii="Calibri" w:hAnsi="Calibri" w:cs="Calibri"/>
        </w:rPr>
      </w:pPr>
      <w:bookmarkStart w:id="16" w:name="_Toc170751789"/>
      <w:r>
        <w:rPr>
          <w:rFonts w:ascii="Calibri" w:hAnsi="Calibri" w:cs="Calibri"/>
        </w:rPr>
        <w:t>5</w:t>
      </w:r>
      <w:r w:rsidR="00060A46" w:rsidRPr="004950DA">
        <w:rPr>
          <w:rFonts w:ascii="Calibri" w:hAnsi="Calibri" w:cs="Calibri"/>
        </w:rPr>
        <w:t>.1 Organisationsanalyser af Sydpartnere</w:t>
      </w:r>
      <w:bookmarkEnd w:id="16"/>
    </w:p>
    <w:p w14:paraId="07217F73" w14:textId="77777777" w:rsidR="00E24405" w:rsidRPr="004950DA" w:rsidRDefault="004C1D21" w:rsidP="008A7C44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Det er et krav</w:t>
      </w:r>
      <w:r w:rsidR="00060A46" w:rsidRPr="004950DA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at en programansøgning</w:t>
      </w:r>
      <w:r w:rsidR="00060A46" w:rsidRPr="004950DA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der indeholder støtte til organisationsudvikling</w:t>
      </w:r>
      <w:r w:rsidR="00060A46" w:rsidRPr="004950DA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er baseret på kapacitetsanalyser af sydpartnerne, der højst er 18 måneder gamle på ansøgningstidspunktet. DH stiller ikke krav om, at organisationsanalyser skal være eksterne eller skal udfærdiges på en bestemt måde</w:t>
      </w:r>
      <w:r w:rsidR="006E61A8" w:rsidRPr="004950DA">
        <w:rPr>
          <w:rFonts w:ascii="Calibri" w:hAnsi="Calibri" w:cs="Calibri"/>
        </w:rPr>
        <w:t xml:space="preserve">. </w:t>
      </w:r>
    </w:p>
    <w:p w14:paraId="141766A7" w14:textId="5D6B8E7E" w:rsidR="00060A46" w:rsidRPr="004950DA" w:rsidRDefault="004C1D21" w:rsidP="008A7C44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 xml:space="preserve">DH anbefaler </w:t>
      </w:r>
      <w:r w:rsidR="00D05718">
        <w:rPr>
          <w:rFonts w:ascii="Calibri" w:hAnsi="Calibri" w:cs="Calibri"/>
        </w:rPr>
        <w:t xml:space="preserve">dog </w:t>
      </w:r>
      <w:r w:rsidRPr="004950DA">
        <w:rPr>
          <w:rFonts w:ascii="Calibri" w:hAnsi="Calibri" w:cs="Calibri"/>
        </w:rPr>
        <w:t>ind imellem at supplere interne selv</w:t>
      </w:r>
      <w:r w:rsidR="000357F7">
        <w:rPr>
          <w:rFonts w:ascii="Calibri" w:hAnsi="Calibri" w:cs="Calibri"/>
        </w:rPr>
        <w:t>-</w:t>
      </w:r>
      <w:r w:rsidRPr="004950DA">
        <w:rPr>
          <w:rFonts w:ascii="Calibri" w:hAnsi="Calibri" w:cs="Calibri"/>
        </w:rPr>
        <w:t xml:space="preserve">evalueringer (fx en OCTAGON analyse eller lignende) </w:t>
      </w:r>
      <w:r w:rsidR="00060A46" w:rsidRPr="004950DA">
        <w:rPr>
          <w:rFonts w:ascii="Calibri" w:hAnsi="Calibri" w:cs="Calibri"/>
        </w:rPr>
        <w:t>med en ekstern facilitering af processen samt overveje</w:t>
      </w:r>
      <w:r w:rsidR="006332CC">
        <w:rPr>
          <w:rFonts w:ascii="Calibri" w:hAnsi="Calibri" w:cs="Calibri"/>
        </w:rPr>
        <w:t>,</w:t>
      </w:r>
      <w:r w:rsidR="00060A46" w:rsidRPr="004950DA">
        <w:rPr>
          <w:rFonts w:ascii="Calibri" w:hAnsi="Calibri" w:cs="Calibri"/>
        </w:rPr>
        <w:t xml:space="preserve"> hvornår det kan være hensigtsmæssigt at gøre brug af en ekstern organisationsanalyse.</w:t>
      </w:r>
    </w:p>
    <w:p w14:paraId="094EBACA" w14:textId="0570FC0E" w:rsidR="008A7C44" w:rsidRPr="004950DA" w:rsidRDefault="006332CC" w:rsidP="008A7C44">
      <w:pPr>
        <w:rPr>
          <w:rFonts w:ascii="Calibri" w:hAnsi="Calibri" w:cs="Calibri"/>
        </w:rPr>
      </w:pPr>
      <w:r>
        <w:rPr>
          <w:rFonts w:ascii="Calibri" w:hAnsi="Calibri" w:cs="Calibri"/>
        </w:rPr>
        <w:t>Vurdering af a</w:t>
      </w:r>
      <w:r w:rsidR="004C1D21" w:rsidRPr="004950DA">
        <w:rPr>
          <w:rFonts w:ascii="Calibri" w:hAnsi="Calibri" w:cs="Calibri"/>
        </w:rPr>
        <w:t>rbejdet med organisationsudvikling</w:t>
      </w:r>
      <w:r>
        <w:rPr>
          <w:rFonts w:ascii="Calibri" w:hAnsi="Calibri" w:cs="Calibri"/>
        </w:rPr>
        <w:t xml:space="preserve">, </w:t>
      </w:r>
      <w:r w:rsidR="004C1D21" w:rsidRPr="004950DA">
        <w:rPr>
          <w:rFonts w:ascii="Calibri" w:hAnsi="Calibri" w:cs="Calibri"/>
        </w:rPr>
        <w:t xml:space="preserve">herunder </w:t>
      </w:r>
      <w:r w:rsidR="00060A46" w:rsidRPr="004950DA">
        <w:rPr>
          <w:rFonts w:ascii="Calibri" w:hAnsi="Calibri" w:cs="Calibri"/>
        </w:rPr>
        <w:t xml:space="preserve">analyse og </w:t>
      </w:r>
      <w:r w:rsidR="004C1D21" w:rsidRPr="004950DA">
        <w:rPr>
          <w:rFonts w:ascii="Calibri" w:hAnsi="Calibri" w:cs="Calibri"/>
        </w:rPr>
        <w:t xml:space="preserve">monitorering af </w:t>
      </w:r>
      <w:r w:rsidR="00060A46" w:rsidRPr="004950DA">
        <w:rPr>
          <w:rFonts w:ascii="Calibri" w:hAnsi="Calibri" w:cs="Calibri"/>
        </w:rPr>
        <w:t>sydpartneres kapacitet, vil indgå som led i de</w:t>
      </w:r>
      <w:r w:rsidR="00E569E7">
        <w:rPr>
          <w:rFonts w:ascii="Calibri" w:hAnsi="Calibri" w:cs="Calibri"/>
        </w:rPr>
        <w:t>n evaluering, DH</w:t>
      </w:r>
      <w:r w:rsidR="00060A46" w:rsidRPr="004950DA">
        <w:rPr>
          <w:rFonts w:ascii="Calibri" w:hAnsi="Calibri" w:cs="Calibri"/>
        </w:rPr>
        <w:t xml:space="preserve"> lave</w:t>
      </w:r>
      <w:r w:rsidR="00E569E7">
        <w:rPr>
          <w:rFonts w:ascii="Calibri" w:hAnsi="Calibri" w:cs="Calibri"/>
        </w:rPr>
        <w:t>r</w:t>
      </w:r>
      <w:r w:rsidR="00060A46" w:rsidRPr="004950DA">
        <w:rPr>
          <w:rFonts w:ascii="Calibri" w:hAnsi="Calibri" w:cs="Calibri"/>
        </w:rPr>
        <w:t xml:space="preserve"> af programmerne henimod slutningen af programperioden.</w:t>
      </w:r>
    </w:p>
    <w:p w14:paraId="3FFC4051" w14:textId="77777777" w:rsidR="00B52ABA" w:rsidRPr="004950DA" w:rsidRDefault="00B52ABA" w:rsidP="008A7C44">
      <w:pPr>
        <w:rPr>
          <w:rFonts w:ascii="Calibri" w:hAnsi="Calibri" w:cs="Calibri"/>
        </w:rPr>
      </w:pPr>
    </w:p>
    <w:p w14:paraId="0A7F78F5" w14:textId="261E23E8" w:rsidR="00F67176" w:rsidRPr="004950DA" w:rsidRDefault="001060BA" w:rsidP="00060A46">
      <w:pPr>
        <w:pStyle w:val="Overskrift3"/>
        <w:rPr>
          <w:rFonts w:ascii="Calibri" w:hAnsi="Calibri" w:cs="Calibri"/>
        </w:rPr>
      </w:pPr>
      <w:bookmarkStart w:id="17" w:name="_Toc170751790"/>
      <w:r>
        <w:rPr>
          <w:rFonts w:ascii="Calibri" w:hAnsi="Calibri" w:cs="Calibri"/>
        </w:rPr>
        <w:lastRenderedPageBreak/>
        <w:t>5</w:t>
      </w:r>
      <w:r w:rsidR="00060A46" w:rsidRPr="004950DA">
        <w:rPr>
          <w:rFonts w:ascii="Calibri" w:hAnsi="Calibri" w:cs="Calibri"/>
        </w:rPr>
        <w:t>.2 Organisationsanalyser af Nordpartnere</w:t>
      </w:r>
      <w:bookmarkEnd w:id="17"/>
    </w:p>
    <w:p w14:paraId="233C630D" w14:textId="4138F289" w:rsidR="00E569E7" w:rsidRDefault="00060A46" w:rsidP="00C70485">
      <w:pPr>
        <w:rPr>
          <w:rFonts w:ascii="Calibri" w:hAnsi="Calibri" w:cs="Calibri"/>
        </w:rPr>
      </w:pPr>
      <w:r w:rsidRPr="004950DA">
        <w:rPr>
          <w:rFonts w:ascii="Calibri" w:hAnsi="Calibri" w:cs="Calibri"/>
        </w:rPr>
        <w:t>Det er et krav</w:t>
      </w:r>
      <w:r w:rsidR="006332CC">
        <w:rPr>
          <w:rFonts w:ascii="Calibri" w:hAnsi="Calibri" w:cs="Calibri"/>
        </w:rPr>
        <w:t>,</w:t>
      </w:r>
      <w:r w:rsidRPr="004950DA">
        <w:rPr>
          <w:rFonts w:ascii="Calibri" w:hAnsi="Calibri" w:cs="Calibri"/>
        </w:rPr>
        <w:t xml:space="preserve"> at nye ansøgere til en programbevilling skal have lavet en kapacitetsanalyse som led i første trin af ansøgningsprocessen, hvor kapaciteten til at være programorganisation bliver vurderet.</w:t>
      </w:r>
      <w:r w:rsidR="006332CC">
        <w:rPr>
          <w:rFonts w:ascii="Calibri" w:hAnsi="Calibri" w:cs="Calibri"/>
        </w:rPr>
        <w:t xml:space="preserve"> Disse kapacitetsanalyser igangsættes og forvaltes af DH. </w:t>
      </w:r>
      <w:r w:rsidRPr="004950DA">
        <w:rPr>
          <w:rFonts w:ascii="Calibri" w:hAnsi="Calibri" w:cs="Calibri"/>
        </w:rPr>
        <w:t>I forbindelse med en ansøgning til en efterfølgende programperiode, vil en vurdering af den danske organisations kapacitet til at køre et program indgå som led i de</w:t>
      </w:r>
      <w:r w:rsidR="000357F7">
        <w:rPr>
          <w:rFonts w:ascii="Calibri" w:hAnsi="Calibri" w:cs="Calibri"/>
        </w:rPr>
        <w:t>n</w:t>
      </w:r>
      <w:r w:rsidRPr="004950DA">
        <w:rPr>
          <w:rFonts w:ascii="Calibri" w:hAnsi="Calibri" w:cs="Calibri"/>
        </w:rPr>
        <w:t xml:space="preserve"> </w:t>
      </w:r>
      <w:r w:rsidR="006E61A8" w:rsidRPr="004950DA">
        <w:rPr>
          <w:rFonts w:ascii="Calibri" w:hAnsi="Calibri" w:cs="Calibri"/>
        </w:rPr>
        <w:t xml:space="preserve">eksterne </w:t>
      </w:r>
      <w:r w:rsidR="00D05718">
        <w:rPr>
          <w:rFonts w:ascii="Calibri" w:hAnsi="Calibri" w:cs="Calibri"/>
        </w:rPr>
        <w:t>program</w:t>
      </w:r>
      <w:r w:rsidR="00E569E7">
        <w:rPr>
          <w:rFonts w:ascii="Calibri" w:hAnsi="Calibri" w:cs="Calibri"/>
        </w:rPr>
        <w:t>evaluering</w:t>
      </w:r>
      <w:r w:rsidRPr="004950DA">
        <w:rPr>
          <w:rFonts w:ascii="Calibri" w:hAnsi="Calibri" w:cs="Calibri"/>
        </w:rPr>
        <w:t>.</w:t>
      </w:r>
      <w:bookmarkEnd w:id="5"/>
    </w:p>
    <w:p w14:paraId="183187F9" w14:textId="77777777" w:rsidR="004629D6" w:rsidRPr="004629D6" w:rsidRDefault="004629D6" w:rsidP="00C70485">
      <w:pPr>
        <w:rPr>
          <w:rFonts w:ascii="Calibri" w:hAnsi="Calibri" w:cs="Calibri"/>
          <w:sz w:val="18"/>
          <w:szCs w:val="18"/>
        </w:rPr>
      </w:pPr>
    </w:p>
    <w:p w14:paraId="3568378F" w14:textId="11284873" w:rsidR="00CF6167" w:rsidRPr="004950DA" w:rsidRDefault="00384A0D" w:rsidP="004950DA">
      <w:pPr>
        <w:pStyle w:val="Overskrift2"/>
        <w:numPr>
          <w:ilvl w:val="0"/>
          <w:numId w:val="20"/>
        </w:numPr>
        <w:rPr>
          <w:rFonts w:ascii="Calibri" w:hAnsi="Calibri" w:cs="Calibri"/>
        </w:rPr>
      </w:pPr>
      <w:bookmarkStart w:id="18" w:name="_Toc170751791"/>
      <w:r w:rsidRPr="004950DA">
        <w:rPr>
          <w:rFonts w:ascii="Calibri" w:hAnsi="Calibri" w:cs="Calibri"/>
        </w:rPr>
        <w:t>Ove</w:t>
      </w:r>
      <w:r w:rsidR="00CF6167" w:rsidRPr="004950DA">
        <w:rPr>
          <w:rFonts w:ascii="Calibri" w:hAnsi="Calibri" w:cs="Calibri"/>
        </w:rPr>
        <w:t xml:space="preserve">rblik over afleveringer </w:t>
      </w:r>
      <w:r w:rsidRPr="004950DA">
        <w:rPr>
          <w:rFonts w:ascii="Calibri" w:hAnsi="Calibri" w:cs="Calibri"/>
        </w:rPr>
        <w:t>til DH</w:t>
      </w:r>
      <w:bookmarkEnd w:id="18"/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7438"/>
        <w:gridCol w:w="1843"/>
      </w:tblGrid>
      <w:tr w:rsidR="004735CF" w:rsidRPr="004950DA" w14:paraId="59C91548" w14:textId="77777777" w:rsidTr="000357F7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F8A2" w14:textId="77777777" w:rsidR="004735CF" w:rsidRPr="004950DA" w:rsidRDefault="004735CF">
            <w:pPr>
              <w:rPr>
                <w:rFonts w:ascii="Calibri" w:hAnsi="Calibri" w:cs="Calibri"/>
                <w:sz w:val="24"/>
                <w:szCs w:val="24"/>
              </w:rPr>
            </w:pPr>
            <w:r w:rsidRPr="004950DA">
              <w:rPr>
                <w:rFonts w:ascii="Calibri" w:hAnsi="Calibri" w:cs="Calibri"/>
                <w:color w:val="FFFFFF"/>
                <w:sz w:val="24"/>
                <w:szCs w:val="24"/>
              </w:rPr>
              <w:t>Årstal</w:t>
            </w:r>
          </w:p>
        </w:tc>
        <w:tc>
          <w:tcPr>
            <w:tcW w:w="7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3864" w14:textId="77777777" w:rsidR="004735CF" w:rsidRPr="004950DA" w:rsidRDefault="004735CF">
            <w:pPr>
              <w:rPr>
                <w:rFonts w:ascii="Calibri" w:hAnsi="Calibri" w:cs="Calibri"/>
                <w:sz w:val="24"/>
                <w:szCs w:val="24"/>
              </w:rPr>
            </w:pPr>
            <w:r w:rsidRPr="004950DA">
              <w:rPr>
                <w:rFonts w:ascii="Calibri" w:hAnsi="Calibri" w:cs="Calibri"/>
                <w:color w:val="FFFFFF"/>
                <w:sz w:val="24"/>
                <w:szCs w:val="24"/>
              </w:rPr>
              <w:t xml:space="preserve">Forpligtelse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307E" w14:textId="77777777" w:rsidR="004735CF" w:rsidRPr="004950DA" w:rsidRDefault="004735CF">
            <w:pPr>
              <w:rPr>
                <w:rFonts w:ascii="Calibri" w:hAnsi="Calibri" w:cs="Calibri"/>
                <w:sz w:val="24"/>
                <w:szCs w:val="24"/>
              </w:rPr>
            </w:pPr>
            <w:r w:rsidRPr="004950DA">
              <w:rPr>
                <w:rFonts w:ascii="Calibri" w:hAnsi="Calibri" w:cs="Calibri"/>
                <w:color w:val="FFFFFF"/>
                <w:sz w:val="24"/>
                <w:szCs w:val="24"/>
              </w:rPr>
              <w:t>Deadline for aflevering</w:t>
            </w:r>
          </w:p>
        </w:tc>
      </w:tr>
      <w:tr w:rsidR="004735CF" w:rsidRPr="004950DA" w14:paraId="210260EA" w14:textId="77777777" w:rsidTr="000357F7"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5E40" w14:textId="691BCDFA" w:rsidR="004735CF" w:rsidRPr="004950DA" w:rsidRDefault="004735CF">
            <w:pPr>
              <w:rPr>
                <w:rFonts w:ascii="Calibri" w:hAnsi="Calibri" w:cs="Calibri"/>
              </w:rPr>
            </w:pPr>
            <w:r w:rsidRPr="004950DA">
              <w:rPr>
                <w:rFonts w:ascii="Calibri" w:hAnsi="Calibri" w:cs="Calibri"/>
                <w:color w:val="000000"/>
              </w:rPr>
              <w:t>2025 2026 2028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70BB" w14:textId="7BC00B6A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>Narrativ rapport på resultater og læring på det foregående år</w:t>
            </w:r>
            <w:r w:rsidRPr="000357F7">
              <w:rPr>
                <w:rStyle w:val="Fodnotehenvisning"/>
                <w:rFonts w:ascii="Calibri" w:hAnsi="Calibri" w:cs="Calibri"/>
              </w:rPr>
              <w:footnoteReference w:id="3"/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613E" w14:textId="77777777" w:rsidR="004735CF" w:rsidRPr="000357F7" w:rsidRDefault="004735CF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color w:val="000000"/>
                <w:sz w:val="21"/>
                <w:szCs w:val="21"/>
              </w:rPr>
              <w:t>Aflevering 1. marts</w:t>
            </w:r>
          </w:p>
        </w:tc>
      </w:tr>
      <w:tr w:rsidR="004735CF" w:rsidRPr="004950DA" w14:paraId="72D00A47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CBF3B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2C8C" w14:textId="75E7EB0E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 xml:space="preserve">Opdateret resultatramme med status på outcomes og outputs ved årets </w:t>
            </w:r>
            <w:r w:rsidR="00C90136" w:rsidRPr="000357F7">
              <w:rPr>
                <w:rFonts w:ascii="Calibri" w:hAnsi="Calibri" w:cs="Calibri"/>
              </w:rPr>
              <w:t>udgang</w:t>
            </w:r>
            <w:r w:rsidR="00C90136" w:rsidRPr="000357F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6E946" w14:textId="77777777" w:rsidR="004735CF" w:rsidRPr="000357F7" w:rsidRDefault="004735C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735CF" w:rsidRPr="004950DA" w14:paraId="7384C1EB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73C8E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E9AE" w14:textId="4C930FA2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 xml:space="preserve">Opdatering på anbefalinger givet ifbm. kapacitetsanalyse, </w:t>
            </w:r>
            <w:r w:rsidR="00E569E7" w:rsidRPr="000357F7">
              <w:rPr>
                <w:rFonts w:ascii="Calibri" w:hAnsi="Calibri" w:cs="Calibri"/>
              </w:rPr>
              <w:t>evaluering</w:t>
            </w:r>
            <w:r w:rsidRPr="000357F7">
              <w:rPr>
                <w:rFonts w:ascii="Calibri" w:hAnsi="Calibri" w:cs="Calibri"/>
              </w:rPr>
              <w:t xml:space="preserve">, </w:t>
            </w:r>
            <w:r w:rsidRPr="000357F7">
              <w:rPr>
                <w:rFonts w:ascii="Calibri" w:hAnsi="Calibri" w:cs="Calibri"/>
                <w:color w:val="000000"/>
              </w:rPr>
              <w:t xml:space="preserve">tilsyn mv.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386BD" w14:textId="77777777" w:rsidR="004735CF" w:rsidRPr="000357F7" w:rsidRDefault="004735C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735CF" w:rsidRPr="004950DA" w14:paraId="522D13F3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05C97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EF63" w14:textId="77777777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>Strategisk oplæg for igangværende år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87D56" w14:textId="77777777" w:rsidR="004735CF" w:rsidRPr="000357F7" w:rsidRDefault="004735C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735CF" w:rsidRPr="004950DA" w14:paraId="6297418B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2499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DAD2" w14:textId="77777777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>Budget for igangværende år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A90F0" w14:textId="77777777" w:rsidR="004735CF" w:rsidRPr="000357F7" w:rsidRDefault="004735CF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735CF" w:rsidRPr="004950DA" w14:paraId="785984C2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A6329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0ACB" w14:textId="77777777" w:rsidR="004735CF" w:rsidRPr="000357F7" w:rsidRDefault="004735CF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>Årskonsultation med DH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BAA0" w14:textId="77777777" w:rsidR="004735CF" w:rsidRPr="000357F7" w:rsidRDefault="004735CF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color w:val="000000"/>
                <w:sz w:val="21"/>
                <w:szCs w:val="21"/>
              </w:rPr>
              <w:t>Slut marts</w:t>
            </w:r>
          </w:p>
        </w:tc>
      </w:tr>
      <w:tr w:rsidR="004735CF" w:rsidRPr="004950DA" w14:paraId="4E371CE6" w14:textId="77777777" w:rsidTr="000357F7"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6F140" w14:textId="77777777" w:rsidR="004735CF" w:rsidRPr="004950DA" w:rsidRDefault="004735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F7F2" w14:textId="77777777" w:rsidR="004735CF" w:rsidRPr="000357F7" w:rsidRDefault="004735CF">
            <w:pPr>
              <w:rPr>
                <w:rFonts w:ascii="Calibri" w:hAnsi="Calibri" w:cs="Calibri"/>
                <w:lang w:val="en-US"/>
              </w:rPr>
            </w:pPr>
            <w:r w:rsidRPr="000357F7">
              <w:rPr>
                <w:rFonts w:ascii="Calibri" w:hAnsi="Calibri" w:cs="Calibri"/>
                <w:lang w:val="en-US"/>
              </w:rPr>
              <w:t xml:space="preserve">Revideret regnskab 2025 (incl. compliance and performance audit)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D4A1" w14:textId="77777777" w:rsidR="004735CF" w:rsidRPr="000357F7" w:rsidRDefault="004735CF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Aflevering 1. juli </w:t>
            </w:r>
          </w:p>
        </w:tc>
      </w:tr>
      <w:tr w:rsidR="004735CF" w:rsidRPr="000357F7" w14:paraId="03B14C1C" w14:textId="77777777" w:rsidTr="000357F7"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5C7980" w14:textId="77777777" w:rsidR="004735CF" w:rsidRPr="000357F7" w:rsidRDefault="004735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E416" w14:textId="77777777" w:rsidR="004735CF" w:rsidRPr="000357F7" w:rsidRDefault="004735CF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0FDD" w14:textId="77777777" w:rsidR="004735CF" w:rsidRPr="000357F7" w:rsidRDefault="004735CF">
            <w:pPr>
              <w:rPr>
                <w:rFonts w:ascii="Calibri" w:hAnsi="Calibri" w:cs="Calibri"/>
                <w:sz w:val="4"/>
                <w:szCs w:val="4"/>
                <w:lang w:val="en-US"/>
              </w:rPr>
            </w:pPr>
          </w:p>
        </w:tc>
      </w:tr>
      <w:tr w:rsidR="00E569E7" w:rsidRPr="004950DA" w14:paraId="72052DC4" w14:textId="77777777" w:rsidTr="000357F7">
        <w:tc>
          <w:tcPr>
            <w:tcW w:w="7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2DDD1" w14:textId="23B5446D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  <w:r w:rsidRPr="004950DA">
              <w:rPr>
                <w:rFonts w:ascii="Calibri" w:hAnsi="Calibri" w:cs="Calibri"/>
              </w:rPr>
              <w:t>2027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415E" w14:textId="3BDB9E41" w:rsidR="00E569E7" w:rsidRPr="000357F7" w:rsidRDefault="00E569E7">
            <w:pPr>
              <w:rPr>
                <w:rFonts w:ascii="Calibri" w:hAnsi="Calibri" w:cs="Calibri"/>
                <w:color w:val="000000"/>
              </w:rPr>
            </w:pPr>
            <w:r w:rsidRPr="000357F7">
              <w:rPr>
                <w:rFonts w:ascii="Calibri" w:hAnsi="Calibri" w:cs="Calibri"/>
                <w:color w:val="000000"/>
              </w:rPr>
              <w:t>Intern midtvejsevaluering af program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6D97" w14:textId="7AA1CB8B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sz w:val="21"/>
                <w:szCs w:val="21"/>
              </w:rPr>
              <w:t>Aflevering 1. april</w:t>
            </w:r>
          </w:p>
        </w:tc>
      </w:tr>
      <w:tr w:rsidR="00E569E7" w:rsidRPr="004950DA" w14:paraId="34E1701E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FB85" w14:textId="63FE093D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EB9E" w14:textId="619BCF3C" w:rsidR="00E569E7" w:rsidRPr="000357F7" w:rsidRDefault="00E569E7">
            <w:pPr>
              <w:rPr>
                <w:rFonts w:ascii="Calibri" w:hAnsi="Calibri" w:cs="Calibri"/>
                <w:color w:val="000000"/>
              </w:rPr>
            </w:pPr>
            <w:r w:rsidRPr="000357F7">
              <w:rPr>
                <w:rFonts w:ascii="Calibri" w:hAnsi="Calibri" w:cs="Calibri"/>
              </w:rPr>
              <w:t>Opdateret resultatramme med status på outcomes og outputs ved årets udgang</w:t>
            </w:r>
            <w:r w:rsidRPr="000357F7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DF1E" w14:textId="77777777" w:rsidR="00E569E7" w:rsidRPr="000357F7" w:rsidRDefault="00E569E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569E7" w:rsidRPr="004950DA" w14:paraId="2F24DF8D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4A94F" w14:textId="5787B0C3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36CE" w14:textId="765321BD" w:rsidR="00E569E7" w:rsidRPr="000357F7" w:rsidRDefault="00E569E7" w:rsidP="00E569E7">
            <w:pPr>
              <w:rPr>
                <w:rFonts w:ascii="Calibri" w:hAnsi="Calibri" w:cs="Calibri"/>
                <w:color w:val="000000"/>
              </w:rPr>
            </w:pPr>
            <w:r w:rsidRPr="000357F7">
              <w:rPr>
                <w:rFonts w:ascii="Calibri" w:hAnsi="Calibri" w:cs="Calibri"/>
              </w:rPr>
              <w:t xml:space="preserve">Opdatering på anbefalinger givet ifbm. kapacitetsanalyse, evaluering, </w:t>
            </w:r>
            <w:r w:rsidRPr="000357F7">
              <w:rPr>
                <w:rFonts w:ascii="Calibri" w:hAnsi="Calibri" w:cs="Calibri"/>
                <w:color w:val="000000"/>
              </w:rPr>
              <w:t xml:space="preserve">tilsyn mv. 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36776" w14:textId="77777777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569E7" w:rsidRPr="004950DA" w14:paraId="2AEC3B78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84AB0" w14:textId="55BB0F9C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2107" w14:textId="6E425794" w:rsidR="00E569E7" w:rsidRPr="000357F7" w:rsidRDefault="00E569E7" w:rsidP="00E569E7">
            <w:pPr>
              <w:rPr>
                <w:rFonts w:ascii="Calibri" w:hAnsi="Calibri" w:cs="Calibri"/>
                <w:color w:val="000000"/>
              </w:rPr>
            </w:pPr>
            <w:r w:rsidRPr="000357F7">
              <w:rPr>
                <w:rFonts w:ascii="Calibri" w:hAnsi="Calibri" w:cs="Calibri"/>
              </w:rPr>
              <w:t>Strategisk oplæg for igangværende år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DA9E9" w14:textId="77777777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569E7" w:rsidRPr="004950DA" w14:paraId="27589462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F375C" w14:textId="2A853280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B185" w14:textId="0226B5CA" w:rsidR="00E569E7" w:rsidRPr="000357F7" w:rsidRDefault="00E569E7" w:rsidP="00E569E7">
            <w:pPr>
              <w:rPr>
                <w:rFonts w:ascii="Calibri" w:hAnsi="Calibri" w:cs="Calibri"/>
                <w:color w:val="000000"/>
              </w:rPr>
            </w:pPr>
            <w:r w:rsidRPr="000357F7">
              <w:rPr>
                <w:rFonts w:ascii="Calibri" w:hAnsi="Calibri" w:cs="Calibri"/>
              </w:rPr>
              <w:t>Budget for igangværende år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600C6" w14:textId="77777777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569E7" w:rsidRPr="004950DA" w14:paraId="422A5935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71D6" w14:textId="3B6D1E41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0A43" w14:textId="40CB8588" w:rsidR="00E569E7" w:rsidRPr="000357F7" w:rsidRDefault="00E569E7" w:rsidP="00E569E7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</w:rPr>
              <w:t>Årskonsultation med DH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9F47" w14:textId="5057676A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sz w:val="21"/>
                <w:szCs w:val="21"/>
              </w:rPr>
              <w:t>Slut april</w:t>
            </w:r>
          </w:p>
        </w:tc>
      </w:tr>
      <w:tr w:rsidR="00E569E7" w:rsidRPr="004950DA" w14:paraId="36930C7F" w14:textId="77777777" w:rsidTr="000357F7">
        <w:tc>
          <w:tcPr>
            <w:tcW w:w="7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BBA92" w14:textId="77777777" w:rsidR="00E569E7" w:rsidRPr="004950DA" w:rsidRDefault="00E569E7" w:rsidP="00E569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9F7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210B" w14:textId="5F020A1D" w:rsidR="00E569E7" w:rsidRPr="000357F7" w:rsidRDefault="00E569E7" w:rsidP="00E569E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357F7">
              <w:rPr>
                <w:rFonts w:ascii="Calibri" w:hAnsi="Calibri" w:cs="Calibri"/>
                <w:lang w:val="en-US"/>
              </w:rPr>
              <w:t xml:space="preserve">Revideret regnskab 2025 (incl. compliance and performance audit)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9112" w14:textId="6C4AD32C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Aflevering 1. juli </w:t>
            </w:r>
          </w:p>
        </w:tc>
      </w:tr>
      <w:tr w:rsidR="00E569E7" w:rsidRPr="004950DA" w14:paraId="3B7A41EE" w14:textId="77777777" w:rsidTr="000357F7"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2E2D" w14:textId="77777777" w:rsidR="00E569E7" w:rsidRPr="004950DA" w:rsidRDefault="00E569E7" w:rsidP="00E569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7214" w14:textId="3760A8F0" w:rsidR="00E569E7" w:rsidRPr="000357F7" w:rsidRDefault="00E569E7" w:rsidP="00E569E7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  <w:color w:val="FFFFFF" w:themeColor="background1"/>
              </w:rPr>
              <w:t xml:space="preserve">Ekstern evaluering gennemføres af DH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23B50" w14:textId="3A18468D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sz w:val="21"/>
                <w:szCs w:val="21"/>
              </w:rPr>
              <w:t>Slut 2027 - start 2028</w:t>
            </w:r>
          </w:p>
        </w:tc>
      </w:tr>
      <w:tr w:rsidR="00E569E7" w:rsidRPr="000357F7" w14:paraId="5A5ABABB" w14:textId="77777777" w:rsidTr="000357F7"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402771" w14:textId="77777777" w:rsidR="00E569E7" w:rsidRPr="000357F7" w:rsidRDefault="00E569E7" w:rsidP="00E569E7">
            <w:pPr>
              <w:rPr>
                <w:rFonts w:ascii="Calibri" w:hAnsi="Calibri" w:cs="Calibri"/>
                <w:sz w:val="4"/>
                <w:szCs w:val="4"/>
                <w:lang w:val="en-US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0E0B" w14:textId="77777777" w:rsidR="00E569E7" w:rsidRPr="000357F7" w:rsidRDefault="00E569E7" w:rsidP="00E569E7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765D" w14:textId="77777777" w:rsidR="00E569E7" w:rsidRPr="000357F7" w:rsidRDefault="00E569E7" w:rsidP="00E569E7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E569E7" w:rsidRPr="004950DA" w14:paraId="3BFF0F6B" w14:textId="77777777" w:rsidTr="000357F7"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75D1" w14:textId="77777777" w:rsidR="00E569E7" w:rsidRPr="004950DA" w:rsidRDefault="00E569E7" w:rsidP="00E569E7">
            <w:pPr>
              <w:jc w:val="center"/>
              <w:rPr>
                <w:rFonts w:ascii="Calibri" w:hAnsi="Calibri" w:cs="Calibri"/>
              </w:rPr>
            </w:pPr>
            <w:r w:rsidRPr="004950DA"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C39E" w14:textId="77777777" w:rsidR="00E569E7" w:rsidRPr="000357F7" w:rsidRDefault="00E569E7" w:rsidP="00E569E7">
            <w:pPr>
              <w:rPr>
                <w:rFonts w:ascii="Calibri" w:hAnsi="Calibri" w:cs="Calibri"/>
              </w:rPr>
            </w:pPr>
            <w:r w:rsidRPr="000357F7">
              <w:rPr>
                <w:rFonts w:ascii="Calibri" w:hAnsi="Calibri" w:cs="Calibri"/>
                <w:color w:val="FFFFFF"/>
              </w:rPr>
              <w:t>Afsluttende rapport for programperioden 2025-28 - alm. årsrapport, samt opsamling på hele programperioden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656E" w14:textId="77777777" w:rsidR="00E569E7" w:rsidRPr="000357F7" w:rsidRDefault="00E569E7" w:rsidP="00E569E7">
            <w:pPr>
              <w:rPr>
                <w:rFonts w:ascii="Calibri" w:hAnsi="Calibri" w:cs="Calibri"/>
                <w:sz w:val="21"/>
                <w:szCs w:val="21"/>
              </w:rPr>
            </w:pPr>
            <w:r w:rsidRPr="000357F7">
              <w:rPr>
                <w:rFonts w:ascii="Calibri" w:hAnsi="Calibri" w:cs="Calibri"/>
                <w:color w:val="000000"/>
                <w:sz w:val="21"/>
                <w:szCs w:val="21"/>
              </w:rPr>
              <w:t>Aflevering 1. marts</w:t>
            </w:r>
          </w:p>
        </w:tc>
      </w:tr>
      <w:tr w:rsidR="00E569E7" w:rsidRPr="004950DA" w14:paraId="29A6167F" w14:textId="77777777" w:rsidTr="000357F7">
        <w:trPr>
          <w:trHeight w:val="301"/>
        </w:trPr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F4946" w14:textId="77777777" w:rsidR="00E569E7" w:rsidRPr="004950DA" w:rsidRDefault="00E569E7" w:rsidP="00E569E7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ACE42" w14:textId="77777777" w:rsidR="00E569E7" w:rsidRPr="000357F7" w:rsidRDefault="00E569E7" w:rsidP="00E569E7">
            <w:pPr>
              <w:rPr>
                <w:rFonts w:ascii="Calibri" w:hAnsi="Calibri" w:cs="Calibri"/>
                <w:lang w:val="en-US"/>
              </w:rPr>
            </w:pPr>
            <w:r w:rsidRPr="000357F7">
              <w:rPr>
                <w:rFonts w:ascii="Calibri" w:hAnsi="Calibri" w:cs="Calibri"/>
                <w:color w:val="FFFFFF"/>
                <w:lang w:val="en-US"/>
              </w:rPr>
              <w:t>Revideret regnskab 2025 (incl. compliance and performance audit)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8CEB" w14:textId="77777777" w:rsidR="00E569E7" w:rsidRPr="004950DA" w:rsidRDefault="00E569E7" w:rsidP="00E569E7">
            <w:pPr>
              <w:rPr>
                <w:rFonts w:ascii="Calibri" w:hAnsi="Calibri" w:cs="Calibri"/>
                <w:lang w:val="en-US"/>
              </w:rPr>
            </w:pPr>
            <w:r w:rsidRPr="004950DA">
              <w:rPr>
                <w:rFonts w:ascii="Calibri" w:hAnsi="Calibri" w:cs="Calibri"/>
                <w:color w:val="000000"/>
                <w:lang w:val="en-US"/>
              </w:rPr>
              <w:t>Aflevering 1. juli</w:t>
            </w:r>
          </w:p>
        </w:tc>
      </w:tr>
    </w:tbl>
    <w:p w14:paraId="45A0C183" w14:textId="77777777" w:rsidR="00CF6167" w:rsidRPr="004950DA" w:rsidRDefault="00CF6167" w:rsidP="00CF6167">
      <w:pPr>
        <w:rPr>
          <w:rFonts w:ascii="Calibri" w:hAnsi="Calibri" w:cs="Calibri"/>
        </w:rPr>
      </w:pPr>
    </w:p>
    <w:sectPr w:rsidR="00CF6167" w:rsidRPr="004950D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EA910" w14:textId="77777777" w:rsidR="00C357E5" w:rsidRDefault="00C357E5" w:rsidP="004735CF">
      <w:pPr>
        <w:spacing w:after="0" w:line="240" w:lineRule="auto"/>
      </w:pPr>
      <w:r>
        <w:separator/>
      </w:r>
    </w:p>
  </w:endnote>
  <w:endnote w:type="continuationSeparator" w:id="0">
    <w:p w14:paraId="78B393D7" w14:textId="77777777" w:rsidR="00C357E5" w:rsidRDefault="00C357E5" w:rsidP="004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5392342"/>
      <w:docPartObj>
        <w:docPartGallery w:val="Page Numbers (Bottom of Page)"/>
        <w:docPartUnique/>
      </w:docPartObj>
    </w:sdtPr>
    <w:sdtEndPr/>
    <w:sdtContent>
      <w:p w14:paraId="7AB46687" w14:textId="7C0D5272" w:rsidR="00755D01" w:rsidRDefault="00755D0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15510F" w14:textId="77777777" w:rsidR="00755D01" w:rsidRDefault="00755D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7A6C5" w14:textId="77777777" w:rsidR="00C357E5" w:rsidRDefault="00C357E5" w:rsidP="004735CF">
      <w:pPr>
        <w:spacing w:after="0" w:line="240" w:lineRule="auto"/>
      </w:pPr>
      <w:r>
        <w:separator/>
      </w:r>
    </w:p>
  </w:footnote>
  <w:footnote w:type="continuationSeparator" w:id="0">
    <w:p w14:paraId="4CBD3707" w14:textId="77777777" w:rsidR="00C357E5" w:rsidRDefault="00C357E5" w:rsidP="004735CF">
      <w:pPr>
        <w:spacing w:after="0" w:line="240" w:lineRule="auto"/>
      </w:pPr>
      <w:r>
        <w:continuationSeparator/>
      </w:r>
    </w:p>
  </w:footnote>
  <w:footnote w:id="1">
    <w:p w14:paraId="124E826E" w14:textId="5C67FDEC" w:rsidR="00B567AB" w:rsidRDefault="00B567A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735CF">
        <w:rPr>
          <w:rFonts w:ascii="Calibri" w:eastAsia="Times New Roman" w:hAnsi="Calibri" w:cs="Calibri"/>
          <w:sz w:val="18"/>
          <w:szCs w:val="18"/>
        </w:rPr>
        <w:t>Afleveres ikke f</w:t>
      </w:r>
      <w:r w:rsidRPr="004735CF">
        <w:rPr>
          <w:rFonts w:ascii="Calibri" w:eastAsia="Times New Roman" w:hAnsi="Calibri" w:cs="Calibri"/>
          <w:sz w:val="18"/>
          <w:szCs w:val="18"/>
          <w14:ligatures w14:val="none"/>
        </w:rPr>
        <w:t>ørste år (2025)</w:t>
      </w:r>
      <w:r w:rsidR="001060BA">
        <w:rPr>
          <w:rFonts w:ascii="Calibri" w:eastAsia="Times New Roman" w:hAnsi="Calibri" w:cs="Calibri"/>
          <w:sz w:val="18"/>
          <w:szCs w:val="18"/>
          <w14:ligatures w14:val="none"/>
        </w:rPr>
        <w:t xml:space="preserve"> og ikke tredje år (2027). </w:t>
      </w:r>
    </w:p>
  </w:footnote>
  <w:footnote w:id="2">
    <w:p w14:paraId="577ECC6E" w14:textId="16C9DC84" w:rsidR="00C859AF" w:rsidRDefault="00C859A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569E7">
        <w:rPr>
          <w:rFonts w:ascii="Calibri" w:hAnsi="Calibri" w:cs="Calibri"/>
          <w:sz w:val="18"/>
          <w:szCs w:val="18"/>
        </w:rPr>
        <w:t>Dvs. for det igangværende, da der afleveres 1. marts.</w:t>
      </w:r>
      <w:r>
        <w:t xml:space="preserve"> </w:t>
      </w:r>
    </w:p>
  </w:footnote>
  <w:footnote w:id="3">
    <w:p w14:paraId="08A1CE9E" w14:textId="709814A1" w:rsidR="004735CF" w:rsidRDefault="004735C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735CF">
        <w:rPr>
          <w:rFonts w:ascii="Calibri" w:eastAsia="Times New Roman" w:hAnsi="Calibri" w:cs="Calibri"/>
          <w:sz w:val="18"/>
          <w:szCs w:val="18"/>
        </w:rPr>
        <w:t>Afleveres ikke f</w:t>
      </w:r>
      <w:r w:rsidRPr="004735CF">
        <w:rPr>
          <w:rFonts w:ascii="Calibri" w:eastAsia="Times New Roman" w:hAnsi="Calibri" w:cs="Calibri"/>
          <w:sz w:val="18"/>
          <w:szCs w:val="18"/>
          <w14:ligatures w14:val="none"/>
        </w:rPr>
        <w:t>ørste år (2025)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151"/>
    <w:multiLevelType w:val="hybridMultilevel"/>
    <w:tmpl w:val="39A85F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E57"/>
    <w:multiLevelType w:val="hybridMultilevel"/>
    <w:tmpl w:val="EC4843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30B"/>
    <w:multiLevelType w:val="multilevel"/>
    <w:tmpl w:val="276CB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6003C9"/>
    <w:multiLevelType w:val="multilevel"/>
    <w:tmpl w:val="9ED02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05B92"/>
    <w:multiLevelType w:val="hybridMultilevel"/>
    <w:tmpl w:val="51E63C9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51F56"/>
    <w:multiLevelType w:val="hybridMultilevel"/>
    <w:tmpl w:val="8CBEFD68"/>
    <w:lvl w:ilvl="0" w:tplc="FFFFFFFF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DCE17A6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298D"/>
    <w:multiLevelType w:val="hybridMultilevel"/>
    <w:tmpl w:val="14C06EF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D5AF1"/>
    <w:multiLevelType w:val="hybridMultilevel"/>
    <w:tmpl w:val="32B83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4B5C"/>
    <w:multiLevelType w:val="hybridMultilevel"/>
    <w:tmpl w:val="65587F26"/>
    <w:lvl w:ilvl="0" w:tplc="8496F3F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0D4"/>
    <w:multiLevelType w:val="hybridMultilevel"/>
    <w:tmpl w:val="8B90A3AA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B778D"/>
    <w:multiLevelType w:val="hybridMultilevel"/>
    <w:tmpl w:val="B26AFD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5CC"/>
    <w:multiLevelType w:val="hybridMultilevel"/>
    <w:tmpl w:val="404E7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1FBE"/>
    <w:multiLevelType w:val="hybridMultilevel"/>
    <w:tmpl w:val="6D049D8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4F0CE7"/>
    <w:multiLevelType w:val="hybridMultilevel"/>
    <w:tmpl w:val="AF5617D4"/>
    <w:lvl w:ilvl="0" w:tplc="5E28B7E8">
      <w:start w:val="4"/>
      <w:numFmt w:val="bullet"/>
      <w:lvlText w:val="-"/>
      <w:lvlJc w:val="left"/>
      <w:pPr>
        <w:ind w:left="720" w:hanging="360"/>
      </w:pPr>
      <w:rPr>
        <w:rFonts w:ascii="Aptos Display" w:eastAsiaTheme="majorEastAsia" w:hAnsi="Aptos Display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4701"/>
    <w:multiLevelType w:val="hybridMultilevel"/>
    <w:tmpl w:val="E5C414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A4898"/>
    <w:multiLevelType w:val="hybridMultilevel"/>
    <w:tmpl w:val="AF247DB8"/>
    <w:lvl w:ilvl="0" w:tplc="D830680A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15C6"/>
    <w:multiLevelType w:val="multilevel"/>
    <w:tmpl w:val="1CCE7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075BFE"/>
    <w:multiLevelType w:val="hybridMultilevel"/>
    <w:tmpl w:val="DDE649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063B"/>
    <w:multiLevelType w:val="hybridMultilevel"/>
    <w:tmpl w:val="5A5CF83E"/>
    <w:lvl w:ilvl="0" w:tplc="FB5ECC54">
      <w:start w:val="1"/>
      <w:numFmt w:val="decimal"/>
      <w:lvlText w:val="%1."/>
      <w:lvlJc w:val="left"/>
      <w:pPr>
        <w:ind w:left="1020" w:hanging="360"/>
      </w:pPr>
    </w:lvl>
    <w:lvl w:ilvl="1" w:tplc="56A8DB4E">
      <w:start w:val="1"/>
      <w:numFmt w:val="decimal"/>
      <w:lvlText w:val="%2."/>
      <w:lvlJc w:val="left"/>
      <w:pPr>
        <w:ind w:left="1020" w:hanging="360"/>
      </w:pPr>
    </w:lvl>
    <w:lvl w:ilvl="2" w:tplc="CE701F8E">
      <w:start w:val="1"/>
      <w:numFmt w:val="decimal"/>
      <w:lvlText w:val="%3."/>
      <w:lvlJc w:val="left"/>
      <w:pPr>
        <w:ind w:left="1020" w:hanging="360"/>
      </w:pPr>
    </w:lvl>
    <w:lvl w:ilvl="3" w:tplc="F1FAAB5E">
      <w:start w:val="1"/>
      <w:numFmt w:val="decimal"/>
      <w:lvlText w:val="%4."/>
      <w:lvlJc w:val="left"/>
      <w:pPr>
        <w:ind w:left="1020" w:hanging="360"/>
      </w:pPr>
    </w:lvl>
    <w:lvl w:ilvl="4" w:tplc="C20A7B20">
      <w:start w:val="1"/>
      <w:numFmt w:val="decimal"/>
      <w:lvlText w:val="%5."/>
      <w:lvlJc w:val="left"/>
      <w:pPr>
        <w:ind w:left="1020" w:hanging="360"/>
      </w:pPr>
    </w:lvl>
    <w:lvl w:ilvl="5" w:tplc="F0C65A50">
      <w:start w:val="1"/>
      <w:numFmt w:val="decimal"/>
      <w:lvlText w:val="%6."/>
      <w:lvlJc w:val="left"/>
      <w:pPr>
        <w:ind w:left="1020" w:hanging="360"/>
      </w:pPr>
    </w:lvl>
    <w:lvl w:ilvl="6" w:tplc="33F8FEB2">
      <w:start w:val="1"/>
      <w:numFmt w:val="decimal"/>
      <w:lvlText w:val="%7."/>
      <w:lvlJc w:val="left"/>
      <w:pPr>
        <w:ind w:left="1020" w:hanging="360"/>
      </w:pPr>
    </w:lvl>
    <w:lvl w:ilvl="7" w:tplc="997CCC2C">
      <w:start w:val="1"/>
      <w:numFmt w:val="decimal"/>
      <w:lvlText w:val="%8."/>
      <w:lvlJc w:val="left"/>
      <w:pPr>
        <w:ind w:left="1020" w:hanging="360"/>
      </w:pPr>
    </w:lvl>
    <w:lvl w:ilvl="8" w:tplc="72129CCA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53EB2C0F"/>
    <w:multiLevelType w:val="hybridMultilevel"/>
    <w:tmpl w:val="C64A94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CE17A6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F7C17"/>
    <w:multiLevelType w:val="hybridMultilevel"/>
    <w:tmpl w:val="DCF8973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848"/>
    <w:multiLevelType w:val="hybridMultilevel"/>
    <w:tmpl w:val="EDE6253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C1752"/>
    <w:multiLevelType w:val="hybridMultilevel"/>
    <w:tmpl w:val="74B493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CE17A6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55A63"/>
    <w:multiLevelType w:val="hybridMultilevel"/>
    <w:tmpl w:val="B3F65B1A"/>
    <w:lvl w:ilvl="0" w:tplc="F156221A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93F62"/>
    <w:multiLevelType w:val="hybridMultilevel"/>
    <w:tmpl w:val="5A18D9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1D28"/>
    <w:multiLevelType w:val="hybridMultilevel"/>
    <w:tmpl w:val="A27ACE00"/>
    <w:lvl w:ilvl="0" w:tplc="0DCE17A6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40EE9"/>
    <w:multiLevelType w:val="hybridMultilevel"/>
    <w:tmpl w:val="7AA48C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CE17A6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66EA5"/>
    <w:multiLevelType w:val="hybridMultilevel"/>
    <w:tmpl w:val="8E862A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5224E"/>
    <w:multiLevelType w:val="hybridMultilevel"/>
    <w:tmpl w:val="229ABD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07931"/>
    <w:multiLevelType w:val="hybridMultilevel"/>
    <w:tmpl w:val="1C461C6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804623">
    <w:abstractNumId w:val="8"/>
  </w:num>
  <w:num w:numId="2" w16cid:durableId="1617327976">
    <w:abstractNumId w:val="13"/>
  </w:num>
  <w:num w:numId="3" w16cid:durableId="1051727897">
    <w:abstractNumId w:val="10"/>
  </w:num>
  <w:num w:numId="4" w16cid:durableId="1181118527">
    <w:abstractNumId w:val="29"/>
  </w:num>
  <w:num w:numId="5" w16cid:durableId="1953853376">
    <w:abstractNumId w:val="17"/>
  </w:num>
  <w:num w:numId="6" w16cid:durableId="1783719411">
    <w:abstractNumId w:val="21"/>
  </w:num>
  <w:num w:numId="7" w16cid:durableId="1477601418">
    <w:abstractNumId w:val="5"/>
  </w:num>
  <w:num w:numId="8" w16cid:durableId="1844930925">
    <w:abstractNumId w:val="27"/>
  </w:num>
  <w:num w:numId="9" w16cid:durableId="1006902413">
    <w:abstractNumId w:val="1"/>
  </w:num>
  <w:num w:numId="10" w16cid:durableId="250043585">
    <w:abstractNumId w:val="6"/>
  </w:num>
  <w:num w:numId="11" w16cid:durableId="987713419">
    <w:abstractNumId w:val="26"/>
  </w:num>
  <w:num w:numId="12" w16cid:durableId="1649478610">
    <w:abstractNumId w:val="22"/>
  </w:num>
  <w:num w:numId="13" w16cid:durableId="1703091460">
    <w:abstractNumId w:val="19"/>
  </w:num>
  <w:num w:numId="14" w16cid:durableId="1131437079">
    <w:abstractNumId w:val="12"/>
  </w:num>
  <w:num w:numId="15" w16cid:durableId="1242058844">
    <w:abstractNumId w:val="9"/>
  </w:num>
  <w:num w:numId="16" w16cid:durableId="563370983">
    <w:abstractNumId w:val="25"/>
  </w:num>
  <w:num w:numId="17" w16cid:durableId="1076438714">
    <w:abstractNumId w:val="20"/>
  </w:num>
  <w:num w:numId="18" w16cid:durableId="868756236">
    <w:abstractNumId w:val="11"/>
  </w:num>
  <w:num w:numId="19" w16cid:durableId="1423912235">
    <w:abstractNumId w:val="23"/>
  </w:num>
  <w:num w:numId="20" w16cid:durableId="1373917527">
    <w:abstractNumId w:val="3"/>
  </w:num>
  <w:num w:numId="21" w16cid:durableId="523321270">
    <w:abstractNumId w:val="15"/>
  </w:num>
  <w:num w:numId="22" w16cid:durableId="689839238">
    <w:abstractNumId w:val="2"/>
  </w:num>
  <w:num w:numId="23" w16cid:durableId="1785345344">
    <w:abstractNumId w:val="28"/>
  </w:num>
  <w:num w:numId="24" w16cid:durableId="868569287">
    <w:abstractNumId w:val="24"/>
  </w:num>
  <w:num w:numId="25" w16cid:durableId="828785141">
    <w:abstractNumId w:val="16"/>
  </w:num>
  <w:num w:numId="26" w16cid:durableId="2024823327">
    <w:abstractNumId w:val="7"/>
  </w:num>
  <w:num w:numId="27" w16cid:durableId="1022053630">
    <w:abstractNumId w:val="0"/>
  </w:num>
  <w:num w:numId="28" w16cid:durableId="512109227">
    <w:abstractNumId w:val="4"/>
  </w:num>
  <w:num w:numId="29" w16cid:durableId="746534231">
    <w:abstractNumId w:val="18"/>
  </w:num>
  <w:num w:numId="30" w16cid:durableId="52849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CF"/>
    <w:rsid w:val="00002908"/>
    <w:rsid w:val="000133B2"/>
    <w:rsid w:val="000167F5"/>
    <w:rsid w:val="000357F7"/>
    <w:rsid w:val="00060A46"/>
    <w:rsid w:val="0006782D"/>
    <w:rsid w:val="000746F1"/>
    <w:rsid w:val="00090FF5"/>
    <w:rsid w:val="000A6D28"/>
    <w:rsid w:val="000F19E3"/>
    <w:rsid w:val="00103AB5"/>
    <w:rsid w:val="001060BA"/>
    <w:rsid w:val="001271B8"/>
    <w:rsid w:val="00170A16"/>
    <w:rsid w:val="0017734F"/>
    <w:rsid w:val="00180BE2"/>
    <w:rsid w:val="001C47DB"/>
    <w:rsid w:val="001E2B31"/>
    <w:rsid w:val="001F645E"/>
    <w:rsid w:val="00206FA8"/>
    <w:rsid w:val="0022687E"/>
    <w:rsid w:val="00244BC8"/>
    <w:rsid w:val="002534AE"/>
    <w:rsid w:val="003142F6"/>
    <w:rsid w:val="00320FBD"/>
    <w:rsid w:val="00340F22"/>
    <w:rsid w:val="00363323"/>
    <w:rsid w:val="003707AA"/>
    <w:rsid w:val="00384A0D"/>
    <w:rsid w:val="00391A25"/>
    <w:rsid w:val="003A3D0E"/>
    <w:rsid w:val="003B6A57"/>
    <w:rsid w:val="003C697B"/>
    <w:rsid w:val="00410BE7"/>
    <w:rsid w:val="00447631"/>
    <w:rsid w:val="004567C8"/>
    <w:rsid w:val="004629D6"/>
    <w:rsid w:val="004735CF"/>
    <w:rsid w:val="004950DA"/>
    <w:rsid w:val="004A5817"/>
    <w:rsid w:val="004C1D21"/>
    <w:rsid w:val="004D1411"/>
    <w:rsid w:val="005015DE"/>
    <w:rsid w:val="00532A9A"/>
    <w:rsid w:val="00534D2F"/>
    <w:rsid w:val="00536C84"/>
    <w:rsid w:val="0054141A"/>
    <w:rsid w:val="00593D4C"/>
    <w:rsid w:val="005A6F07"/>
    <w:rsid w:val="005B6E55"/>
    <w:rsid w:val="005D1A83"/>
    <w:rsid w:val="006216C5"/>
    <w:rsid w:val="006250C9"/>
    <w:rsid w:val="006332CC"/>
    <w:rsid w:val="0063342A"/>
    <w:rsid w:val="00647074"/>
    <w:rsid w:val="0069233F"/>
    <w:rsid w:val="006D050A"/>
    <w:rsid w:val="006D3B88"/>
    <w:rsid w:val="006D68CB"/>
    <w:rsid w:val="006E2FFA"/>
    <w:rsid w:val="006E61A8"/>
    <w:rsid w:val="00705D10"/>
    <w:rsid w:val="00713EFA"/>
    <w:rsid w:val="007558CF"/>
    <w:rsid w:val="00755D01"/>
    <w:rsid w:val="0077077F"/>
    <w:rsid w:val="00774B30"/>
    <w:rsid w:val="0079792A"/>
    <w:rsid w:val="007C6402"/>
    <w:rsid w:val="007D320B"/>
    <w:rsid w:val="008151CB"/>
    <w:rsid w:val="008526A1"/>
    <w:rsid w:val="00860165"/>
    <w:rsid w:val="0089254D"/>
    <w:rsid w:val="008A7C44"/>
    <w:rsid w:val="008B1C58"/>
    <w:rsid w:val="008C4011"/>
    <w:rsid w:val="008F5BEB"/>
    <w:rsid w:val="009144CF"/>
    <w:rsid w:val="00962572"/>
    <w:rsid w:val="00967AFC"/>
    <w:rsid w:val="00976430"/>
    <w:rsid w:val="00981A85"/>
    <w:rsid w:val="00995B50"/>
    <w:rsid w:val="00997479"/>
    <w:rsid w:val="009A78AA"/>
    <w:rsid w:val="009C7458"/>
    <w:rsid w:val="009D439F"/>
    <w:rsid w:val="00A2484F"/>
    <w:rsid w:val="00A64DED"/>
    <w:rsid w:val="00A8166E"/>
    <w:rsid w:val="00AA7DF2"/>
    <w:rsid w:val="00AB0B0F"/>
    <w:rsid w:val="00AC43D2"/>
    <w:rsid w:val="00B01284"/>
    <w:rsid w:val="00B20709"/>
    <w:rsid w:val="00B35B74"/>
    <w:rsid w:val="00B36281"/>
    <w:rsid w:val="00B52ABA"/>
    <w:rsid w:val="00B567AB"/>
    <w:rsid w:val="00B748CE"/>
    <w:rsid w:val="00BE19BD"/>
    <w:rsid w:val="00C357E5"/>
    <w:rsid w:val="00C70485"/>
    <w:rsid w:val="00C768E2"/>
    <w:rsid w:val="00C859AF"/>
    <w:rsid w:val="00C90136"/>
    <w:rsid w:val="00CA0374"/>
    <w:rsid w:val="00CA402F"/>
    <w:rsid w:val="00CC3108"/>
    <w:rsid w:val="00CE6DB7"/>
    <w:rsid w:val="00CF6052"/>
    <w:rsid w:val="00CF6167"/>
    <w:rsid w:val="00D05718"/>
    <w:rsid w:val="00D161AC"/>
    <w:rsid w:val="00D274DF"/>
    <w:rsid w:val="00D900A6"/>
    <w:rsid w:val="00DB5379"/>
    <w:rsid w:val="00DD010A"/>
    <w:rsid w:val="00DF090C"/>
    <w:rsid w:val="00DF4A97"/>
    <w:rsid w:val="00E24405"/>
    <w:rsid w:val="00E569E7"/>
    <w:rsid w:val="00E62049"/>
    <w:rsid w:val="00E70891"/>
    <w:rsid w:val="00EA4CE6"/>
    <w:rsid w:val="00ED70F4"/>
    <w:rsid w:val="00EF32C2"/>
    <w:rsid w:val="00F037D9"/>
    <w:rsid w:val="00F2613C"/>
    <w:rsid w:val="00F27E9E"/>
    <w:rsid w:val="00F67176"/>
    <w:rsid w:val="00F77AFE"/>
    <w:rsid w:val="00FC6A50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E5AF"/>
  <w15:chartTrackingRefBased/>
  <w15:docId w15:val="{C5A90BB6-BA9F-4AB6-9B96-AA33F80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44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5B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6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01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44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44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144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144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44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44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144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35B74"/>
    <w:rPr>
      <w:rFonts w:asciiTheme="majorHAnsi" w:eastAsiaTheme="majorEastAsia" w:hAnsiTheme="majorHAnsi" w:cstheme="majorBidi"/>
      <w:color w:val="0F4761" w:themeColor="accent1" w:themeShade="BF"/>
      <w:sz w:val="36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01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144C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44C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44C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44C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44C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44C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144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144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44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144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44C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144C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144C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144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44C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144CF"/>
    <w:rPr>
      <w:b/>
      <w:bCs/>
      <w:smallCaps/>
      <w:color w:val="0F4761" w:themeColor="accent1" w:themeShade="BF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334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334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3342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34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342A"/>
    <w:rPr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4567C8"/>
    <w:pPr>
      <w:spacing w:before="240" w:after="0"/>
      <w:outlineLvl w:val="9"/>
    </w:pPr>
    <w:rPr>
      <w:kern w:val="0"/>
      <w:sz w:val="32"/>
      <w:szCs w:val="32"/>
      <w:lang w:eastAsia="da-DK"/>
      <w14:ligatures w14:val="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567C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567C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567C8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4567C8"/>
    <w:rPr>
      <w:color w:val="467886" w:themeColor="hyperlink"/>
      <w:u w:val="single"/>
    </w:rPr>
  </w:style>
  <w:style w:type="paragraph" w:styleId="Korrektur">
    <w:name w:val="Revision"/>
    <w:hidden/>
    <w:uiPriority w:val="99"/>
    <w:semiHidden/>
    <w:rsid w:val="000133B2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735CF"/>
    <w:pPr>
      <w:spacing w:after="0" w:line="240" w:lineRule="auto"/>
    </w:pPr>
    <w:rPr>
      <w:rFonts w:ascii="Aptos" w:hAnsi="Aptos" w:cs="Aptos"/>
      <w:kern w:val="0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35CF"/>
    <w:rPr>
      <w:rFonts w:ascii="Aptos" w:hAnsi="Aptos" w:cs="Aptos"/>
      <w:kern w:val="0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735C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75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5D01"/>
  </w:style>
  <w:style w:type="paragraph" w:styleId="Sidefod">
    <w:name w:val="footer"/>
    <w:basedOn w:val="Normal"/>
    <w:link w:val="SidefodTegn"/>
    <w:uiPriority w:val="99"/>
    <w:unhideWhenUsed/>
    <w:rsid w:val="00755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D659-D02E-49AC-94A0-1CF32B44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Robinson</dc:creator>
  <cp:keywords/>
  <dc:description/>
  <cp:lastModifiedBy>Anne Sophie Fabricius</cp:lastModifiedBy>
  <cp:revision>4</cp:revision>
  <cp:lastPrinted>2024-06-24T11:46:00Z</cp:lastPrinted>
  <dcterms:created xsi:type="dcterms:W3CDTF">2024-07-01T16:44:00Z</dcterms:created>
  <dcterms:modified xsi:type="dcterms:W3CDTF">2024-07-01T17:11:00Z</dcterms:modified>
</cp:coreProperties>
</file>