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6FBCD" w14:textId="12BBFED9" w:rsidR="00652538" w:rsidRPr="00521BDD" w:rsidRDefault="00B415AD" w:rsidP="00846746">
      <w:pPr>
        <w:spacing w:after="0" w:line="240" w:lineRule="auto"/>
        <w:rPr>
          <w:rFonts w:ascii="Times New Roman" w:hAnsi="Times New Roman"/>
          <w:sz w:val="26"/>
          <w:szCs w:val="26"/>
        </w:rPr>
      </w:pPr>
      <w:bookmarkStart w:id="0" w:name="Navn"/>
      <w:bookmarkEnd w:id="0"/>
      <w:r>
        <w:rPr>
          <w:rFonts w:ascii="Arial" w:hAnsi="Arial" w:cs="Arial"/>
          <w:sz w:val="26"/>
          <w:szCs w:val="26"/>
        </w:rPr>
        <w:t>Til Europa-Kommission</w:t>
      </w:r>
      <w:r w:rsidR="00EE7FC7" w:rsidRPr="00C130CD">
        <w:rPr>
          <w:rFonts w:ascii="Arial" w:hAnsi="Arial" w:cs="Arial"/>
          <w:sz w:val="26"/>
          <w:szCs w:val="26"/>
        </w:rPr>
        <w:br/>
      </w:r>
      <w:bookmarkStart w:id="1" w:name="Adresse"/>
      <w:bookmarkEnd w:id="1"/>
      <w:r w:rsidR="00EE7FC7" w:rsidRPr="00C130CD">
        <w:rPr>
          <w:rFonts w:ascii="Arial" w:hAnsi="Arial" w:cs="Arial"/>
          <w:sz w:val="26"/>
          <w:szCs w:val="26"/>
        </w:rPr>
        <w:br/>
      </w:r>
      <w:bookmarkStart w:id="2" w:name="postnummer"/>
      <w:bookmarkEnd w:id="2"/>
      <w:r w:rsidR="00EE7FC7" w:rsidRPr="00C130CD">
        <w:rPr>
          <w:rFonts w:ascii="Arial" w:hAnsi="Arial" w:cs="Arial"/>
          <w:sz w:val="26"/>
          <w:szCs w:val="26"/>
        </w:rPr>
        <w:t xml:space="preserve"> </w:t>
      </w:r>
      <w:bookmarkStart w:id="3" w:name="by"/>
      <w:bookmarkEnd w:id="3"/>
      <w:r w:rsidR="00EE7FC7" w:rsidRPr="00521BDD">
        <w:rPr>
          <w:rFonts w:ascii="Times New Roman" w:hAnsi="Times New Roman"/>
          <w:sz w:val="26"/>
          <w:szCs w:val="26"/>
        </w:rPr>
        <w:br/>
      </w:r>
    </w:p>
    <w:p w14:paraId="6056FBCE" w14:textId="77777777" w:rsidR="00A5736B" w:rsidRPr="00521BDD" w:rsidRDefault="00136FE4" w:rsidP="00A5736B">
      <w:pPr>
        <w:jc w:val="right"/>
        <w:rPr>
          <w:rFonts w:ascii="Times New Roman" w:hAnsi="Times New Roman"/>
          <w:sz w:val="26"/>
          <w:szCs w:val="26"/>
        </w:rPr>
      </w:pPr>
    </w:p>
    <w:p w14:paraId="6056FBCF" w14:textId="662264A7" w:rsidR="00652538" w:rsidRDefault="00EE7FC7"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B415AD">
        <w:rPr>
          <w:rFonts w:ascii="Times New Roman" w:hAnsi="Times New Roman"/>
          <w:sz w:val="26"/>
          <w:szCs w:val="26"/>
        </w:rPr>
        <w:t>2. februar</w:t>
      </w:r>
      <w:r>
        <w:rPr>
          <w:rFonts w:ascii="Times New Roman" w:hAnsi="Times New Roman"/>
          <w:sz w:val="26"/>
          <w:szCs w:val="26"/>
        </w:rPr>
        <w:t xml:space="preserve"> 2016</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18-2014-00820</w:t>
      </w:r>
      <w:bookmarkEnd w:id="5"/>
      <w:r>
        <w:rPr>
          <w:rFonts w:ascii="Times New Roman" w:hAnsi="Times New Roman"/>
          <w:sz w:val="18"/>
          <w:szCs w:val="18"/>
        </w:rPr>
        <w:t xml:space="preserve"> – Dok. </w:t>
      </w:r>
      <w:bookmarkStart w:id="6" w:name="dokumentnummer"/>
      <w:r>
        <w:rPr>
          <w:rFonts w:ascii="Times New Roman" w:hAnsi="Times New Roman"/>
          <w:sz w:val="18"/>
          <w:szCs w:val="18"/>
        </w:rPr>
        <w:t>235513</w:t>
      </w:r>
      <w:bookmarkStart w:id="7" w:name="dokumenttitel"/>
      <w:bookmarkEnd w:id="6"/>
      <w:bookmarkEnd w:id="7"/>
      <w:r>
        <w:rPr>
          <w:rFonts w:ascii="Times New Roman" w:hAnsi="Times New Roman"/>
          <w:sz w:val="18"/>
          <w:szCs w:val="18"/>
        </w:rPr>
        <w:t>/</w:t>
      </w:r>
      <w:bookmarkStart w:id="8" w:name="Dokumentansvarlig"/>
      <w:r>
        <w:rPr>
          <w:rFonts w:ascii="Times New Roman" w:hAnsi="Times New Roman"/>
          <w:sz w:val="18"/>
          <w:szCs w:val="18"/>
        </w:rPr>
        <w:t>mol_dh</w:t>
      </w:r>
      <w:bookmarkEnd w:id="8"/>
    </w:p>
    <w:p w14:paraId="6056FBD0" w14:textId="77777777" w:rsidR="00A5736B" w:rsidRPr="00377295" w:rsidRDefault="00EE7FC7" w:rsidP="00A5736B">
      <w:pPr>
        <w:pStyle w:val="Typografi1"/>
        <w:pBdr>
          <w:bottom w:val="single" w:sz="4" w:space="1" w:color="auto"/>
        </w:pBdr>
        <w:rPr>
          <w:rFonts w:cs="Arial"/>
          <w:sz w:val="30"/>
          <w:szCs w:val="30"/>
        </w:rPr>
      </w:pPr>
      <w:r>
        <w:br/>
      </w:r>
      <w:bookmarkStart w:id="9" w:name="Titel"/>
      <w:r w:rsidRPr="00377295">
        <w:rPr>
          <w:rFonts w:cs="Arial"/>
          <w:sz w:val="30"/>
          <w:szCs w:val="30"/>
        </w:rPr>
        <w:t>Høringssvar: European Accessibility Act</w:t>
      </w:r>
      <w:bookmarkEnd w:id="9"/>
    </w:p>
    <w:p w14:paraId="24561A94" w14:textId="374E673A"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Danske Handicaporganisationer (DH) har følgende bemærkninger</w:t>
      </w:r>
      <w:r w:rsidR="000739F7">
        <w:rPr>
          <w:rFonts w:ascii="Times New Roman" w:hAnsi="Times New Roman"/>
          <w:sz w:val="26"/>
          <w:szCs w:val="26"/>
        </w:rPr>
        <w:t xml:space="preserve"> til høringen af direktiv om indbyrdes tilnærmelse af medlemsstaternes love og administrative bestemmelser for så vidt angår tilgængelighedskrav til produkter og tjenesteydelser</w:t>
      </w:r>
      <w:r w:rsidRPr="008F702E">
        <w:rPr>
          <w:rFonts w:ascii="Times New Roman" w:hAnsi="Times New Roman"/>
          <w:sz w:val="26"/>
          <w:szCs w:val="26"/>
        </w:rPr>
        <w:t xml:space="preserve">: </w:t>
      </w:r>
    </w:p>
    <w:p w14:paraId="16467064" w14:textId="77777777" w:rsidR="00503E10" w:rsidRPr="008F702E" w:rsidRDefault="00503E10" w:rsidP="00503E10">
      <w:pPr>
        <w:pStyle w:val="Overskrift2"/>
      </w:pPr>
      <w:r w:rsidRPr="008F702E">
        <w:t>Overordnede bemærkninger</w:t>
      </w:r>
    </w:p>
    <w:p w14:paraId="275270E4" w14:textId="77777777" w:rsidR="00503E10"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DH synes, det er meget positivt, at kommissionen er kommet med sit forslag til et ”tilgængelighedsdirektiv”. European Accessibility Act er et EU-initiativ, som DH har ventet på i mange år.</w:t>
      </w:r>
    </w:p>
    <w:p w14:paraId="20C19606" w14:textId="6E36FA7E"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Mennesker med handicap møder på nuværende tidspunkt mange barrierer, der gør det meget svært at bidrage i alle samfundets aspekter. Med det rette indhold kan en europæisk ”tilgængelighedslov” være med til at ændre dette og sikre tilgængelighed for alle på tværs af grænserne i EU. </w:t>
      </w:r>
    </w:p>
    <w:p w14:paraId="2A118563" w14:textId="77777777" w:rsidR="00503E10" w:rsidRPr="008F702E" w:rsidRDefault="00503E10" w:rsidP="00503E10">
      <w:pPr>
        <w:pStyle w:val="Overskrift2"/>
      </w:pPr>
      <w:r w:rsidRPr="008F702E">
        <w:t>Specifikke bemærkninger til direktivforslaget</w:t>
      </w:r>
    </w:p>
    <w:p w14:paraId="7D36E693" w14:textId="3BF87709"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DH mener, det er meget positivt, at forslaget indeholder forpligtelser til både fabrikant, importører, distributører og tjenesteydere. </w:t>
      </w:r>
      <w:r w:rsidR="00EA3142">
        <w:rPr>
          <w:rFonts w:ascii="Times New Roman" w:hAnsi="Times New Roman"/>
          <w:sz w:val="26"/>
          <w:szCs w:val="26"/>
        </w:rPr>
        <w:t>Dog mener DH</w:t>
      </w:r>
      <w:r w:rsidRPr="008F702E">
        <w:rPr>
          <w:rFonts w:ascii="Times New Roman" w:hAnsi="Times New Roman"/>
          <w:sz w:val="26"/>
          <w:szCs w:val="26"/>
        </w:rPr>
        <w:t xml:space="preserve">, at man vil få et stærkere direktiv ved også at forpligte </w:t>
      </w:r>
      <w:r>
        <w:rPr>
          <w:rFonts w:ascii="Times New Roman" w:hAnsi="Times New Roman"/>
          <w:sz w:val="26"/>
          <w:szCs w:val="26"/>
        </w:rPr>
        <w:t>forhandlere</w:t>
      </w:r>
      <w:r w:rsidRPr="008F702E">
        <w:rPr>
          <w:rFonts w:ascii="Times New Roman" w:hAnsi="Times New Roman"/>
          <w:sz w:val="26"/>
          <w:szCs w:val="26"/>
        </w:rPr>
        <w:t xml:space="preserve">. </w:t>
      </w:r>
    </w:p>
    <w:p w14:paraId="3E389DC6" w14:textId="77777777" w:rsidR="00503E10" w:rsidRPr="008F702E" w:rsidRDefault="00503E10" w:rsidP="00503E10">
      <w:pPr>
        <w:pStyle w:val="Overskrift3"/>
      </w:pPr>
      <w:r w:rsidRPr="008F702E">
        <w:t>Anvendelsesområdet (Artikel 1)</w:t>
      </w:r>
    </w:p>
    <w:p w14:paraId="1D097EE3"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Forslaget dækker vigtige områder inden for it-produkter og tjenesteydel</w:t>
      </w:r>
      <w:r>
        <w:rPr>
          <w:rFonts w:ascii="Times New Roman" w:hAnsi="Times New Roman"/>
          <w:sz w:val="26"/>
          <w:szCs w:val="26"/>
        </w:rPr>
        <w:t>s</w:t>
      </w:r>
      <w:r w:rsidRPr="008F702E">
        <w:rPr>
          <w:rFonts w:ascii="Times New Roman" w:hAnsi="Times New Roman"/>
          <w:sz w:val="26"/>
          <w:szCs w:val="26"/>
        </w:rPr>
        <w:t>er. DH mener dog, at anvendelsesområdet med fordel kan udvides til at omhandle flere område</w:t>
      </w:r>
      <w:r>
        <w:rPr>
          <w:rFonts w:ascii="Times New Roman" w:hAnsi="Times New Roman"/>
          <w:sz w:val="26"/>
          <w:szCs w:val="26"/>
        </w:rPr>
        <w:t>r</w:t>
      </w:r>
      <w:r w:rsidRPr="008F702E">
        <w:rPr>
          <w:rFonts w:ascii="Times New Roman" w:hAnsi="Times New Roman"/>
          <w:sz w:val="26"/>
          <w:szCs w:val="26"/>
        </w:rPr>
        <w:t xml:space="preserve"> som bl.a. det bebyggede område, husholdningsprodukter og </w:t>
      </w:r>
      <w:r>
        <w:rPr>
          <w:rFonts w:ascii="Times New Roman" w:hAnsi="Times New Roman"/>
          <w:sz w:val="26"/>
          <w:szCs w:val="26"/>
        </w:rPr>
        <w:t>overnatningsmuligheder.</w:t>
      </w:r>
    </w:p>
    <w:p w14:paraId="105588A9" w14:textId="77777777" w:rsidR="00503E10" w:rsidRPr="008F702E" w:rsidRDefault="00503E10" w:rsidP="00503E10">
      <w:pPr>
        <w:pStyle w:val="Overskrift3"/>
      </w:pPr>
      <w:r w:rsidRPr="008F702E">
        <w:t>Definitioner (Artikel 2)</w:t>
      </w:r>
    </w:p>
    <w:p w14:paraId="3C6865BB"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DH mener, der</w:t>
      </w:r>
      <w:r>
        <w:rPr>
          <w:rFonts w:ascii="Times New Roman" w:hAnsi="Times New Roman"/>
          <w:sz w:val="26"/>
          <w:szCs w:val="26"/>
        </w:rPr>
        <w:t xml:space="preserve"> i direktivet</w:t>
      </w:r>
      <w:r w:rsidRPr="008F702E">
        <w:rPr>
          <w:rFonts w:ascii="Times New Roman" w:hAnsi="Times New Roman"/>
          <w:sz w:val="26"/>
          <w:szCs w:val="26"/>
        </w:rPr>
        <w:t xml:space="preserve"> skal tilføjes en definition af tjenesteydere, selvom denne allerede findes i Servicedirektivet.</w:t>
      </w:r>
    </w:p>
    <w:p w14:paraId="0C138277" w14:textId="77777777" w:rsidR="00503E10" w:rsidRPr="008F702E" w:rsidRDefault="00503E10" w:rsidP="00503E10">
      <w:pPr>
        <w:pStyle w:val="Overskrift3"/>
      </w:pPr>
      <w:r w:rsidRPr="008F702E">
        <w:t>Tilgængelighedskrav (Artikel 3)</w:t>
      </w:r>
    </w:p>
    <w:p w14:paraId="6380C64D" w14:textId="0BB96220" w:rsidR="00503E10" w:rsidRPr="008F702E" w:rsidRDefault="00503E10" w:rsidP="00503E10">
      <w:pPr>
        <w:spacing w:after="100" w:afterAutospacing="1" w:line="240" w:lineRule="auto"/>
        <w:rPr>
          <w:rFonts w:ascii="Times New Roman" w:hAnsi="Times New Roman"/>
          <w:sz w:val="26"/>
          <w:szCs w:val="26"/>
        </w:rPr>
      </w:pPr>
      <w:r>
        <w:rPr>
          <w:rFonts w:ascii="Times New Roman" w:hAnsi="Times New Roman"/>
          <w:sz w:val="26"/>
          <w:szCs w:val="26"/>
        </w:rPr>
        <w:t>DH mener, at de krav, der stilles til de</w:t>
      </w:r>
      <w:r w:rsidR="002A4E8A">
        <w:rPr>
          <w:rFonts w:ascii="Times New Roman" w:hAnsi="Times New Roman"/>
          <w:sz w:val="26"/>
          <w:szCs w:val="26"/>
        </w:rPr>
        <w:t>t</w:t>
      </w:r>
      <w:r>
        <w:rPr>
          <w:rFonts w:ascii="Times New Roman" w:hAnsi="Times New Roman"/>
          <w:sz w:val="26"/>
          <w:szCs w:val="26"/>
        </w:rPr>
        <w:t xml:space="preserve"> bebyggede miljø ikke er tilstrækkelige. Dette kan forbedres ved, at stille krav om, at bygningerne skal være tilgængelige. Det fjerner ikke alle </w:t>
      </w:r>
      <w:r>
        <w:rPr>
          <w:rFonts w:ascii="Times New Roman" w:hAnsi="Times New Roman"/>
          <w:sz w:val="26"/>
          <w:szCs w:val="26"/>
        </w:rPr>
        <w:lastRenderedPageBreak/>
        <w:t>barrierer, hvis f.eks. en tjenesteydelse er tilgængelighed, men bygningen, hv</w:t>
      </w:r>
      <w:r w:rsidR="002A4E8A">
        <w:rPr>
          <w:rFonts w:ascii="Times New Roman" w:hAnsi="Times New Roman"/>
          <w:sz w:val="26"/>
          <w:szCs w:val="26"/>
        </w:rPr>
        <w:t xml:space="preserve">ori den findes, er utilgængelig eller hvis man ikke kan finde frem til </w:t>
      </w:r>
      <w:r w:rsidR="00136FE4">
        <w:rPr>
          <w:rFonts w:ascii="Times New Roman" w:hAnsi="Times New Roman"/>
          <w:sz w:val="26"/>
          <w:szCs w:val="26"/>
        </w:rPr>
        <w:t>tilgængelige produkt/</w:t>
      </w:r>
      <w:r w:rsidR="002A4E8A" w:rsidRPr="002A4E8A">
        <w:rPr>
          <w:rFonts w:ascii="Times New Roman" w:hAnsi="Times New Roman"/>
          <w:sz w:val="26"/>
          <w:szCs w:val="26"/>
        </w:rPr>
        <w:t xml:space="preserve">service. </w:t>
      </w:r>
      <w:r w:rsidR="00687FA5">
        <w:rPr>
          <w:rFonts w:ascii="Times New Roman" w:hAnsi="Times New Roman"/>
          <w:sz w:val="26"/>
          <w:szCs w:val="26"/>
        </w:rPr>
        <w:t xml:space="preserve"> F.eks. skal en tilgængelig tjek-ind </w:t>
      </w:r>
      <w:r w:rsidR="002A4E8A" w:rsidRPr="002A4E8A">
        <w:rPr>
          <w:rFonts w:ascii="Times New Roman" w:hAnsi="Times New Roman"/>
          <w:sz w:val="26"/>
          <w:szCs w:val="26"/>
        </w:rPr>
        <w:t xml:space="preserve">tjek- ud stander </w:t>
      </w:r>
      <w:r w:rsidR="00687FA5">
        <w:rPr>
          <w:rFonts w:ascii="Times New Roman" w:hAnsi="Times New Roman"/>
          <w:sz w:val="26"/>
          <w:szCs w:val="26"/>
        </w:rPr>
        <w:t xml:space="preserve">placeres, så man kan finde frem til den og få adgang til den. </w:t>
      </w:r>
    </w:p>
    <w:p w14:paraId="5E446537" w14:textId="77777777" w:rsidR="00503E10" w:rsidRPr="008F702E" w:rsidRDefault="00503E10" w:rsidP="00503E10">
      <w:pPr>
        <w:pStyle w:val="Overskrift3"/>
        <w:rPr>
          <w:rFonts w:cs="Times New Roman"/>
          <w:iCs/>
          <w:szCs w:val="26"/>
        </w:rPr>
      </w:pPr>
      <w:r w:rsidRPr="001159DB">
        <w:rPr>
          <w:rFonts w:cs="Times New Roman"/>
          <w:szCs w:val="26"/>
        </w:rPr>
        <w:t>Grundlæggende</w:t>
      </w:r>
      <w:r w:rsidRPr="008F702E">
        <w:rPr>
          <w:rFonts w:cs="Times New Roman"/>
          <w:iCs/>
          <w:szCs w:val="26"/>
        </w:rPr>
        <w:t xml:space="preserve"> ændringer </w:t>
      </w:r>
      <w:r w:rsidRPr="001159DB">
        <w:t>og</w:t>
      </w:r>
      <w:r w:rsidRPr="008F702E">
        <w:rPr>
          <w:rFonts w:cs="Times New Roman"/>
          <w:iCs/>
          <w:szCs w:val="26"/>
        </w:rPr>
        <w:t xml:space="preserve"> uforholdsmæssig stor byrde (artikel 12)</w:t>
      </w:r>
    </w:p>
    <w:p w14:paraId="00EBE8BE" w14:textId="77777777" w:rsidR="00503E10" w:rsidRPr="008F702E" w:rsidRDefault="00503E10" w:rsidP="00503E10">
      <w:pPr>
        <w:spacing w:after="100" w:afterAutospacing="1" w:line="240" w:lineRule="auto"/>
        <w:rPr>
          <w:rFonts w:ascii="Times New Roman" w:hAnsi="Times New Roman"/>
          <w:bCs/>
          <w:iCs/>
          <w:sz w:val="26"/>
          <w:szCs w:val="26"/>
        </w:rPr>
      </w:pPr>
      <w:r w:rsidRPr="008F702E">
        <w:rPr>
          <w:rFonts w:ascii="Times New Roman" w:hAnsi="Times New Roman"/>
          <w:bCs/>
          <w:iCs/>
          <w:sz w:val="26"/>
          <w:szCs w:val="26"/>
        </w:rPr>
        <w:t>Det er meget vigtigt</w:t>
      </w:r>
      <w:r>
        <w:rPr>
          <w:rFonts w:ascii="Times New Roman" w:hAnsi="Times New Roman"/>
          <w:bCs/>
          <w:iCs/>
          <w:sz w:val="26"/>
          <w:szCs w:val="26"/>
        </w:rPr>
        <w:t>,</w:t>
      </w:r>
      <w:r w:rsidRPr="008F702E">
        <w:rPr>
          <w:rFonts w:ascii="Times New Roman" w:hAnsi="Times New Roman"/>
          <w:bCs/>
          <w:iCs/>
          <w:sz w:val="26"/>
          <w:szCs w:val="26"/>
        </w:rPr>
        <w:t xml:space="preserve"> at</w:t>
      </w:r>
      <w:r>
        <w:rPr>
          <w:rFonts w:ascii="Times New Roman" w:hAnsi="Times New Roman"/>
          <w:bCs/>
          <w:iCs/>
          <w:sz w:val="26"/>
          <w:szCs w:val="26"/>
        </w:rPr>
        <w:t xml:space="preserve"> en</w:t>
      </w:r>
      <w:r w:rsidRPr="008F702E">
        <w:rPr>
          <w:rFonts w:ascii="Times New Roman" w:hAnsi="Times New Roman"/>
          <w:bCs/>
          <w:iCs/>
          <w:sz w:val="26"/>
          <w:szCs w:val="26"/>
        </w:rPr>
        <w:t xml:space="preserve"> ’uforholdsmæssig stor byrde’ ikke bliver en kattelem. </w:t>
      </w:r>
      <w:r>
        <w:rPr>
          <w:rFonts w:ascii="Times New Roman" w:hAnsi="Times New Roman"/>
          <w:bCs/>
          <w:iCs/>
          <w:sz w:val="26"/>
          <w:szCs w:val="26"/>
        </w:rPr>
        <w:t xml:space="preserve">Derfor skal </w:t>
      </w:r>
      <w:r w:rsidRPr="008F702E">
        <w:rPr>
          <w:rFonts w:ascii="Times New Roman" w:hAnsi="Times New Roman"/>
          <w:bCs/>
          <w:iCs/>
          <w:sz w:val="26"/>
          <w:szCs w:val="26"/>
        </w:rPr>
        <w:t xml:space="preserve">brugen af denne artikel </w:t>
      </w:r>
      <w:r>
        <w:rPr>
          <w:rFonts w:ascii="Times New Roman" w:hAnsi="Times New Roman"/>
          <w:bCs/>
          <w:iCs/>
          <w:sz w:val="26"/>
          <w:szCs w:val="26"/>
        </w:rPr>
        <w:t xml:space="preserve">overvåges, </w:t>
      </w:r>
      <w:r w:rsidRPr="008F702E">
        <w:rPr>
          <w:rFonts w:ascii="Times New Roman" w:hAnsi="Times New Roman"/>
          <w:bCs/>
          <w:iCs/>
          <w:sz w:val="26"/>
          <w:szCs w:val="26"/>
        </w:rPr>
        <w:t xml:space="preserve">og </w:t>
      </w:r>
      <w:r>
        <w:rPr>
          <w:rFonts w:ascii="Times New Roman" w:hAnsi="Times New Roman"/>
          <w:bCs/>
          <w:iCs/>
          <w:sz w:val="26"/>
          <w:szCs w:val="26"/>
        </w:rPr>
        <w:t xml:space="preserve">det skal </w:t>
      </w:r>
      <w:r w:rsidRPr="008F702E">
        <w:rPr>
          <w:rFonts w:ascii="Times New Roman" w:hAnsi="Times New Roman"/>
          <w:bCs/>
          <w:iCs/>
          <w:sz w:val="26"/>
          <w:szCs w:val="26"/>
        </w:rPr>
        <w:t>sikre</w:t>
      </w:r>
      <w:r>
        <w:rPr>
          <w:rFonts w:ascii="Times New Roman" w:hAnsi="Times New Roman"/>
          <w:bCs/>
          <w:iCs/>
          <w:sz w:val="26"/>
          <w:szCs w:val="26"/>
        </w:rPr>
        <w:t>s</w:t>
      </w:r>
      <w:r w:rsidRPr="008F702E">
        <w:rPr>
          <w:rFonts w:ascii="Times New Roman" w:hAnsi="Times New Roman"/>
          <w:bCs/>
          <w:iCs/>
          <w:sz w:val="26"/>
          <w:szCs w:val="26"/>
        </w:rPr>
        <w:t xml:space="preserve">, at den ikke bliver misbrugt, da det vil </w:t>
      </w:r>
      <w:r>
        <w:rPr>
          <w:rFonts w:ascii="Times New Roman" w:hAnsi="Times New Roman"/>
          <w:bCs/>
          <w:iCs/>
          <w:sz w:val="26"/>
          <w:szCs w:val="26"/>
        </w:rPr>
        <w:t>svække direktivets formål</w:t>
      </w:r>
      <w:r w:rsidRPr="008F702E">
        <w:rPr>
          <w:rFonts w:ascii="Times New Roman" w:hAnsi="Times New Roman"/>
          <w:bCs/>
          <w:iCs/>
          <w:sz w:val="26"/>
          <w:szCs w:val="26"/>
        </w:rPr>
        <w:t>.</w:t>
      </w:r>
    </w:p>
    <w:p w14:paraId="754C7ADD" w14:textId="77777777" w:rsidR="00503E10" w:rsidRPr="008F702E" w:rsidRDefault="00503E10" w:rsidP="00503E10">
      <w:pPr>
        <w:spacing w:after="100" w:afterAutospacing="1" w:line="240" w:lineRule="auto"/>
        <w:rPr>
          <w:rFonts w:ascii="Times New Roman" w:hAnsi="Times New Roman"/>
          <w:bCs/>
          <w:iCs/>
          <w:sz w:val="26"/>
          <w:szCs w:val="26"/>
        </w:rPr>
      </w:pPr>
      <w:r w:rsidRPr="008F702E">
        <w:rPr>
          <w:rFonts w:ascii="Times New Roman" w:hAnsi="Times New Roman"/>
          <w:bCs/>
          <w:iCs/>
          <w:sz w:val="26"/>
          <w:szCs w:val="26"/>
        </w:rPr>
        <w:t>En måde at g</w:t>
      </w:r>
      <w:r>
        <w:rPr>
          <w:rFonts w:ascii="Times New Roman" w:hAnsi="Times New Roman"/>
          <w:bCs/>
          <w:iCs/>
          <w:sz w:val="26"/>
          <w:szCs w:val="26"/>
        </w:rPr>
        <w:t>øre dette på</w:t>
      </w:r>
      <w:r w:rsidRPr="008F702E">
        <w:rPr>
          <w:rFonts w:ascii="Times New Roman" w:hAnsi="Times New Roman"/>
          <w:bCs/>
          <w:iCs/>
          <w:sz w:val="26"/>
          <w:szCs w:val="26"/>
        </w:rPr>
        <w:t xml:space="preserve"> kunne være at nedsætte et rådgivende brugerorgan nationalt, evt. </w:t>
      </w:r>
      <w:r>
        <w:rPr>
          <w:rFonts w:ascii="Times New Roman" w:hAnsi="Times New Roman"/>
          <w:bCs/>
          <w:iCs/>
          <w:sz w:val="26"/>
          <w:szCs w:val="26"/>
        </w:rPr>
        <w:t xml:space="preserve">også </w:t>
      </w:r>
      <w:r w:rsidRPr="008F702E">
        <w:rPr>
          <w:rFonts w:ascii="Times New Roman" w:hAnsi="Times New Roman"/>
          <w:bCs/>
          <w:iCs/>
          <w:sz w:val="26"/>
          <w:szCs w:val="26"/>
        </w:rPr>
        <w:t>internationalt, som kan rådspørges og komme med principper, samt vurdere, om de tilgængelighedsløsninger, som tilbydes, er rele</w:t>
      </w:r>
      <w:r>
        <w:rPr>
          <w:rFonts w:ascii="Times New Roman" w:hAnsi="Times New Roman"/>
          <w:bCs/>
          <w:iCs/>
          <w:sz w:val="26"/>
          <w:szCs w:val="26"/>
        </w:rPr>
        <w:t>vante. Et</w:t>
      </w:r>
      <w:r w:rsidRPr="008F702E">
        <w:rPr>
          <w:rFonts w:ascii="Times New Roman" w:hAnsi="Times New Roman"/>
          <w:bCs/>
          <w:iCs/>
          <w:sz w:val="26"/>
          <w:szCs w:val="26"/>
        </w:rPr>
        <w:t xml:space="preserve"> sådant organ kan både omfatte brugere udpeget af organisationer og eksperter fra ressourcecentre eller dedikerede (upartiske) rådgivningsvirksomheder med viden om de specifikke handicap.</w:t>
      </w:r>
    </w:p>
    <w:p w14:paraId="1212792F" w14:textId="054C05AE" w:rsidR="00503E10" w:rsidRPr="008F702E" w:rsidRDefault="009938E8" w:rsidP="00503E10">
      <w:pPr>
        <w:spacing w:after="100" w:afterAutospacing="1" w:line="240" w:lineRule="auto"/>
        <w:rPr>
          <w:rFonts w:ascii="Times New Roman" w:hAnsi="Times New Roman"/>
          <w:bCs/>
          <w:iCs/>
          <w:sz w:val="26"/>
          <w:szCs w:val="26"/>
        </w:rPr>
      </w:pPr>
      <w:r>
        <w:rPr>
          <w:rFonts w:ascii="Times New Roman" w:hAnsi="Times New Roman"/>
          <w:bCs/>
          <w:iCs/>
          <w:sz w:val="26"/>
          <w:szCs w:val="26"/>
        </w:rPr>
        <w:t xml:space="preserve">Det er dog vigtigt </w:t>
      </w:r>
      <w:r w:rsidR="00503E10" w:rsidRPr="008F702E">
        <w:rPr>
          <w:rFonts w:ascii="Times New Roman" w:hAnsi="Times New Roman"/>
          <w:bCs/>
          <w:iCs/>
          <w:sz w:val="26"/>
          <w:szCs w:val="26"/>
        </w:rPr>
        <w:t>at sikre, at der gennemfø</w:t>
      </w:r>
      <w:r w:rsidR="00687FA5">
        <w:rPr>
          <w:rFonts w:ascii="Times New Roman" w:hAnsi="Times New Roman"/>
          <w:bCs/>
          <w:iCs/>
          <w:sz w:val="26"/>
          <w:szCs w:val="26"/>
        </w:rPr>
        <w:t xml:space="preserve">res en ensartet implementering, og </w:t>
      </w:r>
      <w:r w:rsidR="00503E10" w:rsidRPr="008F702E">
        <w:rPr>
          <w:rFonts w:ascii="Times New Roman" w:hAnsi="Times New Roman"/>
          <w:bCs/>
          <w:iCs/>
          <w:sz w:val="26"/>
          <w:szCs w:val="26"/>
        </w:rPr>
        <w:t>at den dedikerede komité, som skal nedsættes under kommissionen, udsteder nogle klare og dækkende retningslinjer, som skal gælde for samtlige medlemslande.</w:t>
      </w:r>
    </w:p>
    <w:p w14:paraId="69BFB98B" w14:textId="77777777" w:rsidR="00503E10" w:rsidRPr="008F702E" w:rsidRDefault="00503E10" w:rsidP="00503E10">
      <w:pPr>
        <w:pStyle w:val="Overskrift3"/>
        <w:rPr>
          <w:rFonts w:cs="Times New Roman"/>
          <w:iCs/>
          <w:szCs w:val="26"/>
        </w:rPr>
      </w:pPr>
      <w:r w:rsidRPr="008F702E">
        <w:rPr>
          <w:rFonts w:cs="Times New Roman"/>
          <w:iCs/>
          <w:szCs w:val="26"/>
        </w:rPr>
        <w:t xml:space="preserve">Fælles tekniske </w:t>
      </w:r>
      <w:r w:rsidRPr="001159DB">
        <w:t>specifikationer</w:t>
      </w:r>
      <w:r w:rsidRPr="008F702E">
        <w:rPr>
          <w:rFonts w:cs="Times New Roman"/>
          <w:iCs/>
          <w:szCs w:val="26"/>
        </w:rPr>
        <w:t xml:space="preserve"> (artikel 14)</w:t>
      </w:r>
    </w:p>
    <w:p w14:paraId="7B3DEF8C"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Det er vigtigt, at personer med handicap inddrages i standardiseringsarbejdet, og at de får dækket deres omkostninger til deltagelse i dansk og internationalt standardiseringsarbejde. Dette er især vigtigt i forbindelse med udvikling af tilgængelighedsstandarder. I mange tilfælde foregår standardiseringsarbejdet uden inddragelse af personer med handicap og styres af virksomheder med økonomisk interesse på det pågældende område.</w:t>
      </w:r>
    </w:p>
    <w:p w14:paraId="121BB6D6" w14:textId="77777777" w:rsidR="00503E10" w:rsidRPr="008F702E" w:rsidRDefault="00503E10" w:rsidP="00503E10">
      <w:pPr>
        <w:pStyle w:val="Overskrift3"/>
        <w:rPr>
          <w:rFonts w:cs="Times New Roman"/>
          <w:szCs w:val="26"/>
        </w:rPr>
      </w:pPr>
      <w:r w:rsidRPr="008F702E">
        <w:rPr>
          <w:rFonts w:cs="Times New Roman"/>
          <w:szCs w:val="26"/>
        </w:rPr>
        <w:t>Generelle principper for CE-</w:t>
      </w:r>
      <w:r w:rsidRPr="001159DB">
        <w:t>mærkningen</w:t>
      </w:r>
      <w:r w:rsidRPr="008F702E">
        <w:rPr>
          <w:rFonts w:cs="Times New Roman"/>
          <w:szCs w:val="26"/>
        </w:rPr>
        <w:t xml:space="preserve"> af produkter (Artikel 16)</w:t>
      </w:r>
    </w:p>
    <w:p w14:paraId="4C41F5A6" w14:textId="5F1FBE90"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Kommissionen har valgt CE-mærkning i stedet for en egentlig tilgængelighedsmærkning. Risikoen ved at benytte dette er bl.a. selvevalueringen</w:t>
      </w:r>
      <w:r w:rsidR="00136FE4">
        <w:rPr>
          <w:rFonts w:ascii="Times New Roman" w:hAnsi="Times New Roman"/>
          <w:sz w:val="26"/>
          <w:szCs w:val="26"/>
        </w:rPr>
        <w:t>. Evalueringen foretages ikke</w:t>
      </w:r>
      <w:r w:rsidRPr="008F702E">
        <w:rPr>
          <w:rFonts w:ascii="Times New Roman" w:hAnsi="Times New Roman"/>
          <w:sz w:val="26"/>
          <w:szCs w:val="26"/>
        </w:rPr>
        <w:t xml:space="preserve"> af tredje part. Det betyder, at et utilgængeligt produkt allerede kan være på markedet, når markedsovervågningen finder ud af, at det er utilgængeligt. Desuden er det ikke et mærke</w:t>
      </w:r>
      <w:r w:rsidR="00136FE4">
        <w:rPr>
          <w:rFonts w:ascii="Times New Roman" w:hAnsi="Times New Roman"/>
          <w:sz w:val="26"/>
          <w:szCs w:val="26"/>
        </w:rPr>
        <w:t>,</w:t>
      </w:r>
      <w:r w:rsidRPr="008F702E">
        <w:rPr>
          <w:rFonts w:ascii="Times New Roman" w:hAnsi="Times New Roman"/>
          <w:sz w:val="26"/>
          <w:szCs w:val="26"/>
        </w:rPr>
        <w:t xml:space="preserve"> som forbrugere forbinder med tilgængelighed. Derfor mener DH, at der skal iværksættes en form for markedsføring af CE-mærket og tilgængelighed.</w:t>
      </w:r>
    </w:p>
    <w:p w14:paraId="1979CD34" w14:textId="77777777" w:rsidR="00503E10" w:rsidRDefault="00503E10" w:rsidP="00503E10">
      <w:pPr>
        <w:pStyle w:val="Overskrift3"/>
        <w:rPr>
          <w:bCs w:val="0"/>
          <w:iCs/>
          <w:szCs w:val="26"/>
        </w:rPr>
      </w:pPr>
      <w:r w:rsidRPr="008F702E">
        <w:rPr>
          <w:rFonts w:cs="Times New Roman"/>
          <w:iCs/>
          <w:szCs w:val="26"/>
        </w:rPr>
        <w:t xml:space="preserve">Markedsovervågning af </w:t>
      </w:r>
      <w:r w:rsidRPr="001159DB">
        <w:t>produkter</w:t>
      </w:r>
      <w:r w:rsidRPr="008F702E">
        <w:rPr>
          <w:rFonts w:cs="Times New Roman"/>
          <w:iCs/>
          <w:szCs w:val="26"/>
        </w:rPr>
        <w:t xml:space="preserve"> </w:t>
      </w:r>
      <w:r>
        <w:rPr>
          <w:bCs w:val="0"/>
          <w:iCs/>
          <w:szCs w:val="26"/>
        </w:rPr>
        <w:t>(Artikel 17)</w:t>
      </w:r>
    </w:p>
    <w:p w14:paraId="70C20CF1" w14:textId="77777777" w:rsidR="00503E10" w:rsidRPr="008F702E" w:rsidRDefault="00503E10" w:rsidP="00503E10">
      <w:pPr>
        <w:spacing w:after="100" w:afterAutospacing="1" w:line="240" w:lineRule="auto"/>
        <w:rPr>
          <w:rFonts w:ascii="Times New Roman" w:hAnsi="Times New Roman"/>
          <w:bCs/>
          <w:iCs/>
          <w:sz w:val="26"/>
          <w:szCs w:val="26"/>
        </w:rPr>
      </w:pPr>
      <w:r w:rsidRPr="008F702E">
        <w:rPr>
          <w:rFonts w:ascii="Times New Roman" w:hAnsi="Times New Roman"/>
          <w:bCs/>
          <w:iCs/>
          <w:sz w:val="26"/>
          <w:szCs w:val="26"/>
        </w:rPr>
        <w:t>DH mener, at de oplysninger</w:t>
      </w:r>
      <w:r w:rsidRPr="001159DB">
        <w:rPr>
          <w:rFonts w:ascii="Times New Roman" w:hAnsi="Times New Roman"/>
          <w:bCs/>
          <w:iCs/>
          <w:sz w:val="26"/>
          <w:szCs w:val="26"/>
        </w:rPr>
        <w:t xml:space="preserve"> </w:t>
      </w:r>
      <w:r w:rsidRPr="008F702E">
        <w:rPr>
          <w:rFonts w:ascii="Times New Roman" w:hAnsi="Times New Roman"/>
          <w:bCs/>
          <w:iCs/>
          <w:sz w:val="26"/>
          <w:szCs w:val="26"/>
        </w:rPr>
        <w:t>om erhvervsdrivendes overholdelse af de gældende tilgængelighedskrav, som markedsovervågni</w:t>
      </w:r>
      <w:r>
        <w:rPr>
          <w:rFonts w:ascii="Times New Roman" w:hAnsi="Times New Roman"/>
          <w:bCs/>
          <w:iCs/>
          <w:sz w:val="26"/>
          <w:szCs w:val="26"/>
        </w:rPr>
        <w:t>ngsmyndighederne har</w:t>
      </w:r>
      <w:r w:rsidRPr="008F702E">
        <w:rPr>
          <w:rFonts w:ascii="Times New Roman" w:hAnsi="Times New Roman"/>
          <w:bCs/>
          <w:iCs/>
          <w:sz w:val="26"/>
          <w:szCs w:val="26"/>
        </w:rPr>
        <w:t xml:space="preserve">, systematisk skal gøres tilgængelige for forbrugerne og ikke kun efter anmodning. </w:t>
      </w:r>
    </w:p>
    <w:p w14:paraId="5F777D93" w14:textId="77777777" w:rsidR="00503E10" w:rsidRDefault="00503E10" w:rsidP="00503E10">
      <w:pPr>
        <w:pStyle w:val="Overskrift3"/>
        <w:rPr>
          <w:bCs w:val="0"/>
          <w:iCs/>
          <w:szCs w:val="26"/>
        </w:rPr>
      </w:pPr>
      <w:r w:rsidRPr="008F702E">
        <w:rPr>
          <w:rFonts w:cs="Times New Roman"/>
          <w:iCs/>
          <w:szCs w:val="26"/>
        </w:rPr>
        <w:t>Tjenesteydelsers overholdelse af kravene</w:t>
      </w:r>
      <w:r>
        <w:rPr>
          <w:bCs w:val="0"/>
          <w:iCs/>
          <w:szCs w:val="26"/>
        </w:rPr>
        <w:t xml:space="preserve"> (Artikel 18)</w:t>
      </w:r>
    </w:p>
    <w:p w14:paraId="06194C32" w14:textId="77777777" w:rsidR="00503E10" w:rsidRPr="008F702E" w:rsidRDefault="00503E10" w:rsidP="00503E10">
      <w:pPr>
        <w:spacing w:after="100" w:afterAutospacing="1" w:line="240" w:lineRule="auto"/>
        <w:rPr>
          <w:rFonts w:ascii="Times New Roman" w:hAnsi="Times New Roman"/>
          <w:bCs/>
          <w:iCs/>
          <w:sz w:val="26"/>
          <w:szCs w:val="26"/>
        </w:rPr>
      </w:pPr>
      <w:r w:rsidRPr="008F702E">
        <w:rPr>
          <w:rFonts w:ascii="Times New Roman" w:hAnsi="Times New Roman"/>
          <w:bCs/>
          <w:iCs/>
          <w:sz w:val="26"/>
          <w:szCs w:val="26"/>
        </w:rPr>
        <w:t>Da CE-mærkning ikke kan benyttes for tjenesteydelser mener DH, at der skal udvikles et certificeringssystem for tjenesteydelse</w:t>
      </w:r>
      <w:r>
        <w:rPr>
          <w:rFonts w:ascii="Times New Roman" w:hAnsi="Times New Roman"/>
          <w:bCs/>
          <w:iCs/>
          <w:sz w:val="26"/>
          <w:szCs w:val="26"/>
        </w:rPr>
        <w:t>r</w:t>
      </w:r>
      <w:r w:rsidRPr="008F702E">
        <w:rPr>
          <w:rFonts w:ascii="Times New Roman" w:hAnsi="Times New Roman"/>
          <w:bCs/>
          <w:iCs/>
          <w:sz w:val="26"/>
          <w:szCs w:val="26"/>
        </w:rPr>
        <w:t>, der kan sikre, at tilgængelighedskrav overholdes.</w:t>
      </w:r>
    </w:p>
    <w:p w14:paraId="138CBAD6" w14:textId="77777777" w:rsidR="00503E10" w:rsidRPr="008F702E" w:rsidRDefault="00503E10" w:rsidP="00503E10">
      <w:pPr>
        <w:pStyle w:val="Overskrift3"/>
      </w:pPr>
      <w:r w:rsidRPr="008F702E">
        <w:lastRenderedPageBreak/>
        <w:t>Anvendelighed af kravene om tilgængelighed på andre EU-retsakter (Artikel 21)</w:t>
      </w:r>
    </w:p>
    <w:p w14:paraId="18E85EB7" w14:textId="5FDE945F"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Det er vigtigt, at man i direktivet præciserer, hvordan forholdet er til andre EU-retsakter, der indeholder tilgængelighedskrav</w:t>
      </w:r>
      <w:r w:rsidR="00136FE4">
        <w:rPr>
          <w:rFonts w:ascii="Times New Roman" w:hAnsi="Times New Roman"/>
          <w:sz w:val="26"/>
          <w:szCs w:val="26"/>
        </w:rPr>
        <w:t>,</w:t>
      </w:r>
      <w:bookmarkStart w:id="10" w:name="_GoBack"/>
      <w:bookmarkEnd w:id="10"/>
      <w:r w:rsidRPr="008F702E">
        <w:rPr>
          <w:rFonts w:ascii="Times New Roman" w:hAnsi="Times New Roman"/>
          <w:sz w:val="26"/>
          <w:szCs w:val="26"/>
        </w:rPr>
        <w:t xml:space="preserve"> for at sikre, at kravene supplerer hin</w:t>
      </w:r>
      <w:r>
        <w:rPr>
          <w:rFonts w:ascii="Times New Roman" w:hAnsi="Times New Roman"/>
          <w:sz w:val="26"/>
          <w:szCs w:val="26"/>
        </w:rPr>
        <w:t>anden og ikke risikerer at påvirke</w:t>
      </w:r>
      <w:r w:rsidRPr="008F702E">
        <w:rPr>
          <w:rFonts w:ascii="Times New Roman" w:hAnsi="Times New Roman"/>
          <w:sz w:val="26"/>
          <w:szCs w:val="26"/>
        </w:rPr>
        <w:t xml:space="preserve"> hindanden negativt. </w:t>
      </w:r>
    </w:p>
    <w:p w14:paraId="25864416" w14:textId="77777777" w:rsidR="00503E10" w:rsidRPr="008F702E" w:rsidRDefault="00503E10" w:rsidP="00503E10">
      <w:pPr>
        <w:pStyle w:val="Overskrift3"/>
        <w:rPr>
          <w:rFonts w:cs="Times New Roman"/>
          <w:szCs w:val="26"/>
        </w:rPr>
      </w:pPr>
      <w:r w:rsidRPr="008F702E">
        <w:rPr>
          <w:rFonts w:cs="Times New Roman"/>
          <w:szCs w:val="26"/>
        </w:rPr>
        <w:t>Håndhævelse (Artikel 25)</w:t>
      </w:r>
    </w:p>
    <w:p w14:paraId="2AEEBCE9"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Muligheden for som enkeltperson at indbringe en sag for domstolene eller for de kompetente administrative myndigheder er en vigtig del af direktivet. Det skal dog understreges, at dette skal være sidste udvej. Der skal være et system, der sikrer kontrol med overholdelsen af bestemmelserne i direktivet.</w:t>
      </w:r>
    </w:p>
    <w:p w14:paraId="23D203F9" w14:textId="77777777" w:rsidR="00503E10" w:rsidRDefault="00503E10" w:rsidP="00503E10">
      <w:pPr>
        <w:pStyle w:val="Overskrift3"/>
        <w:rPr>
          <w:szCs w:val="26"/>
        </w:rPr>
      </w:pPr>
      <w:r w:rsidRPr="008F702E">
        <w:rPr>
          <w:rFonts w:cs="Times New Roman"/>
          <w:szCs w:val="26"/>
        </w:rPr>
        <w:t>Sanktioner (Artikel 26)</w:t>
      </w:r>
    </w:p>
    <w:p w14:paraId="4AEF2C51" w14:textId="78A4F65A"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Denne artikel er af afgørende betydning for forslaget. For at sikre den ønskede effekt, skal det sikres, at de nødvendige ress</w:t>
      </w:r>
      <w:r w:rsidR="002E618F">
        <w:rPr>
          <w:rFonts w:ascii="Times New Roman" w:hAnsi="Times New Roman"/>
          <w:sz w:val="26"/>
          <w:szCs w:val="26"/>
        </w:rPr>
        <w:t>ourcer allokeres til at håndhæve</w:t>
      </w:r>
      <w:r w:rsidRPr="008F702E">
        <w:rPr>
          <w:rFonts w:ascii="Times New Roman" w:hAnsi="Times New Roman"/>
          <w:sz w:val="26"/>
          <w:szCs w:val="26"/>
        </w:rPr>
        <w:t xml:space="preserve"> sanktionerne. Desuden mener vi, at de skal investeres i tilgængelighedsrelaterede initiativer.</w:t>
      </w:r>
    </w:p>
    <w:p w14:paraId="5483F67E" w14:textId="77777777" w:rsidR="00503E10" w:rsidRPr="008F702E" w:rsidRDefault="00503E10" w:rsidP="00503E10">
      <w:pPr>
        <w:pStyle w:val="Overskrift3"/>
        <w:rPr>
          <w:rFonts w:cs="Times New Roman"/>
          <w:szCs w:val="26"/>
        </w:rPr>
      </w:pPr>
      <w:r w:rsidRPr="008F702E">
        <w:rPr>
          <w:rFonts w:cs="Times New Roman"/>
          <w:szCs w:val="26"/>
        </w:rPr>
        <w:t>Gennemførelse (</w:t>
      </w:r>
      <w:r w:rsidRPr="001159DB">
        <w:t>Artikel</w:t>
      </w:r>
      <w:r w:rsidRPr="008F702E">
        <w:rPr>
          <w:rFonts w:cs="Times New Roman"/>
          <w:szCs w:val="26"/>
        </w:rPr>
        <w:t xml:space="preserve"> 27)</w:t>
      </w:r>
    </w:p>
    <w:p w14:paraId="65941C28" w14:textId="5A6B51F4"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Når man tager i betragtning, at størstede</w:t>
      </w:r>
      <w:r>
        <w:rPr>
          <w:rFonts w:ascii="Times New Roman" w:hAnsi="Times New Roman"/>
          <w:sz w:val="26"/>
          <w:szCs w:val="26"/>
        </w:rPr>
        <w:t>len af de produkter og tjenesteydelser</w:t>
      </w:r>
      <w:r w:rsidRPr="008F702E">
        <w:rPr>
          <w:rFonts w:ascii="Times New Roman" w:hAnsi="Times New Roman"/>
          <w:sz w:val="26"/>
          <w:szCs w:val="26"/>
        </w:rPr>
        <w:t>, der er en del af forslaget</w:t>
      </w:r>
      <w:r>
        <w:rPr>
          <w:rFonts w:ascii="Times New Roman" w:hAnsi="Times New Roman"/>
          <w:sz w:val="26"/>
          <w:szCs w:val="26"/>
        </w:rPr>
        <w:t xml:space="preserve"> ligger inden for det digitale område</w:t>
      </w:r>
      <w:r w:rsidRPr="008F702E">
        <w:rPr>
          <w:rFonts w:ascii="Times New Roman" w:hAnsi="Times New Roman"/>
          <w:sz w:val="26"/>
          <w:szCs w:val="26"/>
        </w:rPr>
        <w:t>, mener vi, at den f</w:t>
      </w:r>
      <w:r w:rsidR="00EA3142">
        <w:rPr>
          <w:rFonts w:ascii="Times New Roman" w:hAnsi="Times New Roman"/>
          <w:sz w:val="26"/>
          <w:szCs w:val="26"/>
        </w:rPr>
        <w:t>oreslåede gennemførelsesperiode</w:t>
      </w:r>
      <w:r w:rsidRPr="008F702E">
        <w:rPr>
          <w:rFonts w:ascii="Times New Roman" w:hAnsi="Times New Roman"/>
          <w:sz w:val="26"/>
          <w:szCs w:val="26"/>
        </w:rPr>
        <w:t xml:space="preserve"> på seks år er for lang. Den kan godt kortes ned. Hvis anvendelsesområdet udvides til også at omfatte det bebyggede område kan perioden derimod forlænges</w:t>
      </w:r>
      <w:r>
        <w:rPr>
          <w:rFonts w:ascii="Times New Roman" w:hAnsi="Times New Roman"/>
          <w:sz w:val="26"/>
          <w:szCs w:val="26"/>
        </w:rPr>
        <w:t>.</w:t>
      </w:r>
    </w:p>
    <w:p w14:paraId="7E09294E"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Skulle ovenstående give anledning til spørgsmål, kan disse rettes til chefkonsulent, Monica Løland, på </w:t>
      </w:r>
      <w:proofErr w:type="gramStart"/>
      <w:r w:rsidRPr="008F702E">
        <w:rPr>
          <w:rFonts w:ascii="Times New Roman" w:hAnsi="Times New Roman"/>
          <w:sz w:val="26"/>
          <w:szCs w:val="26"/>
        </w:rPr>
        <w:t>tlf.: 3638 8524</w:t>
      </w:r>
      <w:proofErr w:type="gramEnd"/>
      <w:r w:rsidRPr="008F702E">
        <w:rPr>
          <w:rFonts w:ascii="Times New Roman" w:hAnsi="Times New Roman"/>
          <w:sz w:val="26"/>
          <w:szCs w:val="26"/>
        </w:rPr>
        <w:t xml:space="preserve"> eller e-mail: </w:t>
      </w:r>
      <w:hyperlink r:id="rId11" w:history="1">
        <w:r w:rsidRPr="008F702E">
          <w:rPr>
            <w:rStyle w:val="Hyperlink"/>
            <w:rFonts w:ascii="Times New Roman" w:hAnsi="Times New Roman"/>
            <w:sz w:val="26"/>
            <w:szCs w:val="26"/>
          </w:rPr>
          <w:t>mol@handicap.dk</w:t>
        </w:r>
      </w:hyperlink>
      <w:r w:rsidRPr="008F702E">
        <w:rPr>
          <w:rFonts w:ascii="Times New Roman" w:hAnsi="Times New Roman"/>
          <w:sz w:val="26"/>
          <w:szCs w:val="26"/>
        </w:rPr>
        <w:t xml:space="preserve">. </w:t>
      </w:r>
    </w:p>
    <w:p w14:paraId="4082A26D"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Med venlig hilsen</w:t>
      </w:r>
    </w:p>
    <w:p w14:paraId="6E9E0AA2" w14:textId="77777777" w:rsidR="00503E10" w:rsidRPr="008F702E" w:rsidRDefault="00503E10" w:rsidP="00503E10">
      <w:pPr>
        <w:spacing w:after="100" w:afterAutospacing="1" w:line="240" w:lineRule="auto"/>
        <w:rPr>
          <w:rFonts w:ascii="Times New Roman" w:hAnsi="Times New Roman"/>
          <w:sz w:val="26"/>
          <w:szCs w:val="26"/>
        </w:rPr>
      </w:pPr>
    </w:p>
    <w:p w14:paraId="400ADD4A"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noProof/>
          <w:sz w:val="26"/>
          <w:szCs w:val="26"/>
        </w:rPr>
        <w:drawing>
          <wp:inline distT="0" distB="0" distL="0" distR="0" wp14:anchorId="351D2032" wp14:editId="3968F6A8">
            <wp:extent cx="1628775" cy="413797"/>
            <wp:effectExtent l="0" t="0" r="0" b="571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28775" cy="413797"/>
                    </a:xfrm>
                    <a:prstGeom prst="rect">
                      <a:avLst/>
                    </a:prstGeom>
                    <a:noFill/>
                    <a:ln>
                      <a:noFill/>
                    </a:ln>
                  </pic:spPr>
                </pic:pic>
              </a:graphicData>
            </a:graphic>
          </wp:inline>
        </w:drawing>
      </w:r>
    </w:p>
    <w:p w14:paraId="7BD8440F"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sz w:val="26"/>
          <w:szCs w:val="26"/>
        </w:rPr>
        <w:t>Thorkild Olesen</w:t>
      </w:r>
    </w:p>
    <w:p w14:paraId="32B7EE08" w14:textId="77777777" w:rsidR="00503E10" w:rsidRPr="008F702E" w:rsidRDefault="00503E10" w:rsidP="00503E10">
      <w:pPr>
        <w:spacing w:after="100" w:afterAutospacing="1" w:line="240" w:lineRule="auto"/>
        <w:rPr>
          <w:rFonts w:ascii="Times New Roman" w:hAnsi="Times New Roman"/>
          <w:sz w:val="26"/>
          <w:szCs w:val="26"/>
        </w:rPr>
      </w:pPr>
      <w:r w:rsidRPr="008F702E">
        <w:rPr>
          <w:rFonts w:ascii="Times New Roman" w:hAnsi="Times New Roman"/>
          <w:i/>
          <w:sz w:val="26"/>
          <w:szCs w:val="26"/>
        </w:rPr>
        <w:t>Formand</w:t>
      </w:r>
    </w:p>
    <w:p w14:paraId="5533890A" w14:textId="77777777" w:rsidR="00503E10" w:rsidRDefault="00503E10" w:rsidP="00503E10">
      <w:pPr>
        <w:spacing w:after="100" w:afterAutospacing="1" w:line="240" w:lineRule="auto"/>
        <w:rPr>
          <w:rFonts w:ascii="Times New Roman" w:hAnsi="Times New Roman"/>
          <w:sz w:val="26"/>
          <w:szCs w:val="26"/>
        </w:rPr>
      </w:pPr>
    </w:p>
    <w:p w14:paraId="6056FBD1" w14:textId="77777777" w:rsidR="00243B80" w:rsidRDefault="00136FE4" w:rsidP="00156BE7">
      <w:pPr>
        <w:spacing w:after="0"/>
        <w:rPr>
          <w:rFonts w:ascii="Times New Roman" w:hAnsi="Times New Roman"/>
          <w:sz w:val="26"/>
          <w:szCs w:val="26"/>
        </w:rPr>
      </w:pPr>
    </w:p>
    <w:p w14:paraId="6056FBD2" w14:textId="77777777" w:rsidR="00A14C1D" w:rsidRDefault="00136FE4" w:rsidP="00156BE7">
      <w:pPr>
        <w:spacing w:after="0"/>
        <w:rPr>
          <w:rFonts w:ascii="Times New Roman" w:hAnsi="Times New Roman"/>
          <w:sz w:val="26"/>
          <w:szCs w:val="26"/>
        </w:rPr>
      </w:pPr>
    </w:p>
    <w:sectPr w:rsidR="00A14C1D" w:rsidSect="00243B80">
      <w:headerReference w:type="first" r:id="rId14"/>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FBD9" w14:textId="77777777" w:rsidR="00DD5A08" w:rsidRDefault="00EE7FC7">
      <w:pPr>
        <w:spacing w:after="0" w:line="240" w:lineRule="auto"/>
      </w:pPr>
      <w:r>
        <w:separator/>
      </w:r>
    </w:p>
  </w:endnote>
  <w:endnote w:type="continuationSeparator" w:id="0">
    <w:p w14:paraId="6056FBDB" w14:textId="77777777" w:rsidR="00DD5A08" w:rsidRDefault="00EE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FBD5" w14:textId="77777777" w:rsidR="00DD5A08" w:rsidRDefault="00EE7FC7">
      <w:pPr>
        <w:spacing w:after="0" w:line="240" w:lineRule="auto"/>
      </w:pPr>
      <w:r>
        <w:separator/>
      </w:r>
    </w:p>
  </w:footnote>
  <w:footnote w:type="continuationSeparator" w:id="0">
    <w:p w14:paraId="6056FBD7" w14:textId="77777777" w:rsidR="00DD5A08" w:rsidRDefault="00EE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97643"/>
      <w:docPartObj>
        <w:docPartGallery w:val="Page Numbers (Top of Page)"/>
        <w:docPartUnique/>
      </w:docPartObj>
    </w:sdtPr>
    <w:sdtEndPr/>
    <w:sdtContent>
      <w:p w14:paraId="5F413BCF" w14:textId="7629386E" w:rsidR="00E16EB0" w:rsidRDefault="00E16EB0">
        <w:pPr>
          <w:pStyle w:val="Sidehoved"/>
          <w:jc w:val="center"/>
        </w:pPr>
        <w:r>
          <w:fldChar w:fldCharType="begin"/>
        </w:r>
        <w:r>
          <w:instrText>PAGE   \* MERGEFORMAT</w:instrText>
        </w:r>
        <w:r>
          <w:fldChar w:fldCharType="separate"/>
        </w:r>
        <w:r w:rsidR="00136FE4">
          <w:rPr>
            <w:noProof/>
          </w:rPr>
          <w:t>1</w:t>
        </w:r>
        <w:r>
          <w:fldChar w:fldCharType="end"/>
        </w:r>
      </w:p>
    </w:sdtContent>
  </w:sdt>
  <w:p w14:paraId="6056FBD4" w14:textId="77777777" w:rsidR="00243B80" w:rsidRDefault="00136FE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739F7"/>
    <w:rsid w:val="00136FE4"/>
    <w:rsid w:val="002A4E8A"/>
    <w:rsid w:val="002E618F"/>
    <w:rsid w:val="00503E10"/>
    <w:rsid w:val="00687FA5"/>
    <w:rsid w:val="009938E8"/>
    <w:rsid w:val="00B415AD"/>
    <w:rsid w:val="00DD5A08"/>
    <w:rsid w:val="00E16EB0"/>
    <w:rsid w:val="00EA3142"/>
    <w:rsid w:val="00EE7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03E10"/>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Overskrift3">
    <w:name w:val="heading 3"/>
    <w:basedOn w:val="Normal"/>
    <w:next w:val="Normal"/>
    <w:link w:val="Overskrift3Tegn"/>
    <w:uiPriority w:val="9"/>
    <w:unhideWhenUsed/>
    <w:qFormat/>
    <w:rsid w:val="00503E10"/>
    <w:pPr>
      <w:keepNext/>
      <w:keepLines/>
      <w:spacing w:before="200" w:after="0"/>
      <w:outlineLvl w:val="2"/>
    </w:pPr>
    <w:rPr>
      <w:rFonts w:ascii="Times New Roman" w:eastAsiaTheme="majorEastAsia" w:hAnsi="Times New Roman" w:cstheme="majorBidi"/>
      <w:b/>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customStyle="1" w:styleId="Overskrift2Tegn">
    <w:name w:val="Overskrift 2 Tegn"/>
    <w:basedOn w:val="Standardskrifttypeiafsnit"/>
    <w:link w:val="Overskrift2"/>
    <w:uiPriority w:val="9"/>
    <w:rsid w:val="00503E10"/>
    <w:rPr>
      <w:rFonts w:ascii="Times New Roman" w:eastAsiaTheme="majorEastAsia" w:hAnsi="Times New Roman" w:cstheme="majorBidi"/>
      <w:b/>
      <w:bCs/>
      <w:color w:val="000000" w:themeColor="text1"/>
      <w:kern w:val="28"/>
      <w:sz w:val="28"/>
      <w:szCs w:val="26"/>
      <w:lang w:eastAsia="da-DK"/>
      <w14:ligatures w14:val="standard"/>
      <w14:cntxtAlts/>
    </w:rPr>
  </w:style>
  <w:style w:type="character" w:customStyle="1" w:styleId="Overskrift3Tegn">
    <w:name w:val="Overskrift 3 Tegn"/>
    <w:basedOn w:val="Standardskrifttypeiafsnit"/>
    <w:link w:val="Overskrift3"/>
    <w:uiPriority w:val="9"/>
    <w:rsid w:val="00503E10"/>
    <w:rPr>
      <w:rFonts w:ascii="Times New Roman" w:eastAsiaTheme="majorEastAsia" w:hAnsi="Times New Roman" w:cstheme="majorBidi"/>
      <w:b/>
      <w:bCs/>
      <w:color w:val="000000" w:themeColor="text1"/>
      <w:kern w:val="28"/>
      <w:sz w:val="26"/>
      <w:szCs w:val="20"/>
      <w:lang w:eastAsia="da-DK"/>
      <w14:ligatures w14:val="standard"/>
      <w14:cntxtAlts/>
    </w:rPr>
  </w:style>
  <w:style w:type="character" w:styleId="Hyperlink">
    <w:name w:val="Hyperlink"/>
    <w:uiPriority w:val="99"/>
    <w:unhideWhenUsed/>
    <w:rsid w:val="00503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03E10"/>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Overskrift3">
    <w:name w:val="heading 3"/>
    <w:basedOn w:val="Normal"/>
    <w:next w:val="Normal"/>
    <w:link w:val="Overskrift3Tegn"/>
    <w:uiPriority w:val="9"/>
    <w:unhideWhenUsed/>
    <w:qFormat/>
    <w:rsid w:val="00503E10"/>
    <w:pPr>
      <w:keepNext/>
      <w:keepLines/>
      <w:spacing w:before="200" w:after="0"/>
      <w:outlineLvl w:val="2"/>
    </w:pPr>
    <w:rPr>
      <w:rFonts w:ascii="Times New Roman" w:eastAsiaTheme="majorEastAsia" w:hAnsi="Times New Roman" w:cstheme="majorBidi"/>
      <w:b/>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customStyle="1" w:styleId="Overskrift2Tegn">
    <w:name w:val="Overskrift 2 Tegn"/>
    <w:basedOn w:val="Standardskrifttypeiafsnit"/>
    <w:link w:val="Overskrift2"/>
    <w:uiPriority w:val="9"/>
    <w:rsid w:val="00503E10"/>
    <w:rPr>
      <w:rFonts w:ascii="Times New Roman" w:eastAsiaTheme="majorEastAsia" w:hAnsi="Times New Roman" w:cstheme="majorBidi"/>
      <w:b/>
      <w:bCs/>
      <w:color w:val="000000" w:themeColor="text1"/>
      <w:kern w:val="28"/>
      <w:sz w:val="28"/>
      <w:szCs w:val="26"/>
      <w:lang w:eastAsia="da-DK"/>
      <w14:ligatures w14:val="standard"/>
      <w14:cntxtAlts/>
    </w:rPr>
  </w:style>
  <w:style w:type="character" w:customStyle="1" w:styleId="Overskrift3Tegn">
    <w:name w:val="Overskrift 3 Tegn"/>
    <w:basedOn w:val="Standardskrifttypeiafsnit"/>
    <w:link w:val="Overskrift3"/>
    <w:uiPriority w:val="9"/>
    <w:rsid w:val="00503E10"/>
    <w:rPr>
      <w:rFonts w:ascii="Times New Roman" w:eastAsiaTheme="majorEastAsia" w:hAnsi="Times New Roman" w:cstheme="majorBidi"/>
      <w:b/>
      <w:bCs/>
      <w:color w:val="000000" w:themeColor="text1"/>
      <w:kern w:val="28"/>
      <w:sz w:val="26"/>
      <w:szCs w:val="20"/>
      <w:lang w:eastAsia="da-DK"/>
      <w14:ligatures w14:val="standard"/>
      <w14:cntxtAlts/>
    </w:rPr>
  </w:style>
  <w:style w:type="character" w:styleId="Hyperlink">
    <w:name w:val="Hyperlink"/>
    <w:uiPriority w:val="99"/>
    <w:unhideWhenUsed/>
    <w:rsid w:val="00503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0976">
      <w:bodyDiv w:val="1"/>
      <w:marLeft w:val="0"/>
      <w:marRight w:val="0"/>
      <w:marTop w:val="0"/>
      <w:marBottom w:val="0"/>
      <w:divBdr>
        <w:top w:val="none" w:sz="0" w:space="0" w:color="auto"/>
        <w:left w:val="none" w:sz="0" w:space="0" w:color="auto"/>
        <w:bottom w:val="none" w:sz="0" w:space="0" w:color="auto"/>
        <w:right w:val="none" w:sz="0" w:space="0" w:color="auto"/>
      </w:divBdr>
    </w:div>
    <w:div w:id="13281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E3CC.C4E6D7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ol@handicap.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235513</TSID>
    <TSTitle xmlns="181e6edb-f8a7-4e25-8cbd-c1843e47ac00">Høringssvar: European Accessibility Act</TSTitl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1596</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18EE7C4100BA4D9020085964162925" ma:contentTypeVersion="13" ma:contentTypeDescription="Create a new document." ma:contentTypeScope="" ma:versionID="5d833d63045115b1e26f17e98b4837c7">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C240-A9B5-4E34-A974-A9A9B6A3BF59}">
  <ds:schemaRefs>
    <ds:schemaRef ds:uri="181e6edb-f8a7-4e25-8cbd-c1843e47ac0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79DBB98-0F92-4B45-BB43-E0B7F633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CF92B-08EC-4723-8EC9-38244A8648BC}">
  <ds:schemaRefs>
    <ds:schemaRef ds:uri="http://schemas.microsoft.com/sharepoint/v3/contenttype/forms"/>
  </ds:schemaRefs>
</ds:datastoreItem>
</file>

<file path=customXml/itemProps4.xml><?xml version="1.0" encoding="utf-8"?>
<ds:datastoreItem xmlns:ds="http://schemas.openxmlformats.org/officeDocument/2006/customXml" ds:itemID="{A93D3B30-9D34-4C86-A655-AAE2AD0B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Template>
  <TotalTime>272</TotalTime>
  <Pages>3</Pages>
  <Words>855</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Monica Løland - DH</cp:lastModifiedBy>
  <cp:revision>5</cp:revision>
  <cp:lastPrinted>2016-02-02T10:19:00Z</cp:lastPrinted>
  <dcterms:created xsi:type="dcterms:W3CDTF">2015-07-13T10:54:00Z</dcterms:created>
  <dcterms:modified xsi:type="dcterms:W3CDTF">2016-02-02T11:37:00Z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0x0101009B18EE7C4100BA4D9020085964162925</vt:lpwstr>
  </property>
</Properties>
</file>