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CD591B" w14:paraId="4778D3DC" w14:textId="77777777" w:rsidTr="00AA0D2C">
        <w:trPr>
          <w:trHeight w:hRule="exact" w:val="737"/>
        </w:trPr>
        <w:tc>
          <w:tcPr>
            <w:tcW w:w="7230" w:type="dxa"/>
          </w:tcPr>
          <w:p w14:paraId="4778D3DA" w14:textId="4F449612" w:rsidR="00206780" w:rsidRDefault="005C1D7B" w:rsidP="00206780">
            <w:pPr>
              <w:pStyle w:val="Header-info"/>
              <w:framePr w:wrap="auto" w:vAnchor="margin" w:hAnchor="text" w:yAlign="inline"/>
            </w:pPr>
            <w:bookmarkStart w:id="0" w:name="_GoBack"/>
            <w:bookmarkEnd w:id="0"/>
            <w:r>
              <w:t xml:space="preserve">Dokument oprettet </w:t>
            </w:r>
            <w:bookmarkStart w:id="1" w:name="Dato"/>
            <w:r w:rsidR="00F13389">
              <w:t>1</w:t>
            </w:r>
            <w:r>
              <w:t>2. maj 2022</w:t>
            </w:r>
            <w:bookmarkEnd w:id="1"/>
            <w:r w:rsidR="004C6440">
              <w:t xml:space="preserve"> / </w:t>
            </w:r>
            <w:bookmarkStart w:id="2" w:name="Init"/>
            <w:r w:rsidR="004C6440">
              <w:t>lkb_dh</w:t>
            </w:r>
            <w:bookmarkEnd w:id="2"/>
          </w:p>
          <w:p w14:paraId="4778D3DB" w14:textId="77777777" w:rsidR="00333E52" w:rsidRPr="00244D70" w:rsidRDefault="005C1D7B" w:rsidP="00206780">
            <w:pPr>
              <w:pStyle w:val="Header-info"/>
              <w:framePr w:wrap="auto" w:vAnchor="margin" w:hAnchor="text" w:yAlign="inline"/>
            </w:pPr>
            <w:r>
              <w:t xml:space="preserve">Sag </w:t>
            </w:r>
            <w:bookmarkStart w:id="3" w:name="SagsID"/>
            <w:r>
              <w:t>16-2019-00745</w:t>
            </w:r>
            <w:bookmarkEnd w:id="3"/>
            <w:r>
              <w:t xml:space="preserve"> – Dok. </w:t>
            </w:r>
            <w:bookmarkStart w:id="4" w:name="DokID"/>
            <w:r>
              <w:t>577669</w:t>
            </w:r>
            <w:bookmarkEnd w:id="4"/>
          </w:p>
        </w:tc>
      </w:tr>
    </w:tbl>
    <w:p w14:paraId="4778D3DD" w14:textId="38936973" w:rsidR="00DB335E" w:rsidRPr="00E67757" w:rsidRDefault="005C1D7B" w:rsidP="00316531">
      <w:pPr>
        <w:pStyle w:val="Overskrift1"/>
        <w:pBdr>
          <w:bottom w:val="single" w:sz="4" w:space="1" w:color="auto"/>
        </w:pBdr>
        <w:rPr>
          <w:color w:val="193764" w:themeColor="accent1"/>
        </w:rPr>
      </w:pPr>
      <w:bookmarkStart w:id="5" w:name="Overskrift"/>
      <w:bookmarkStart w:id="6" w:name="_Toc102388663"/>
      <w:r w:rsidRPr="00E67757">
        <w:rPr>
          <w:color w:val="193764" w:themeColor="accent1"/>
        </w:rPr>
        <w:t>DH's Forslagskatalog</w:t>
      </w:r>
      <w:r w:rsidR="00376D17" w:rsidRPr="00E67757">
        <w:rPr>
          <w:color w:val="193764" w:themeColor="accent1"/>
        </w:rPr>
        <w:t>: St</w:t>
      </w:r>
      <w:r w:rsidRPr="00E67757">
        <w:rPr>
          <w:color w:val="193764" w:themeColor="accent1"/>
        </w:rPr>
        <w:t>yrke</w:t>
      </w:r>
      <w:r w:rsidR="00376D17" w:rsidRPr="00E67757">
        <w:rPr>
          <w:color w:val="193764" w:themeColor="accent1"/>
        </w:rPr>
        <w:t xml:space="preserve">lse af borgerens </w:t>
      </w:r>
      <w:r w:rsidRPr="00E67757">
        <w:rPr>
          <w:color w:val="193764" w:themeColor="accent1"/>
        </w:rPr>
        <w:t>retssikkerhed på socialområdet</w:t>
      </w:r>
      <w:bookmarkEnd w:id="5"/>
      <w:bookmarkEnd w:id="6"/>
    </w:p>
    <w:p w14:paraId="0FE596F4" w14:textId="77777777" w:rsidR="009079D5" w:rsidRDefault="009079D5" w:rsidP="009079D5">
      <w:pPr>
        <w:spacing w:after="240"/>
        <w:rPr>
          <w:rFonts w:cs="Open Sans"/>
        </w:rPr>
      </w:pPr>
      <w:r w:rsidRPr="00DB1A19">
        <w:rPr>
          <w:rFonts w:cs="Open Sans"/>
        </w:rPr>
        <w:t xml:space="preserve">Danske Handicaporganisationer (DH) har gennem en </w:t>
      </w:r>
      <w:r>
        <w:rPr>
          <w:rFonts w:cs="Open Sans"/>
        </w:rPr>
        <w:t xml:space="preserve">lang </w:t>
      </w:r>
      <w:r w:rsidRPr="00DB1A19">
        <w:rPr>
          <w:rFonts w:cs="Open Sans"/>
        </w:rPr>
        <w:t>årrække oplevet et stigende pres på retssikkerheden på socialområdet. Mødet med kommunen er central for, at mennesker med handicap modtager den hjælp</w:t>
      </w:r>
      <w:r>
        <w:rPr>
          <w:rFonts w:cs="Open Sans"/>
        </w:rPr>
        <w:t xml:space="preserve"> samt</w:t>
      </w:r>
      <w:r w:rsidRPr="00DB1A19">
        <w:rPr>
          <w:rFonts w:cs="Open Sans"/>
        </w:rPr>
        <w:t xml:space="preserve"> vejledning og rådgivning om muligheder for støtte, </w:t>
      </w:r>
      <w:r>
        <w:rPr>
          <w:rFonts w:cs="Open Sans"/>
        </w:rPr>
        <w:t>der</w:t>
      </w:r>
      <w:r w:rsidRPr="00DB1A19">
        <w:rPr>
          <w:rFonts w:cs="Open Sans"/>
        </w:rPr>
        <w:t xml:space="preserve"> gør det </w:t>
      </w:r>
      <w:r>
        <w:rPr>
          <w:rFonts w:cs="Open Sans"/>
        </w:rPr>
        <w:t>muligt at leve et selvvalgt og</w:t>
      </w:r>
      <w:r w:rsidRPr="00DB1A19">
        <w:rPr>
          <w:rFonts w:cs="Open Sans"/>
        </w:rPr>
        <w:t xml:space="preserve"> meningsfuldt liv med mulighed for at bidrage og deltage i samfundet. DH mener</w:t>
      </w:r>
      <w:r>
        <w:rPr>
          <w:rFonts w:cs="Open Sans"/>
        </w:rPr>
        <w:t>,</w:t>
      </w:r>
      <w:r w:rsidRPr="00DB1A19">
        <w:rPr>
          <w:rFonts w:cs="Open Sans"/>
        </w:rPr>
        <w:t xml:space="preserve"> </w:t>
      </w:r>
      <w:r>
        <w:rPr>
          <w:rFonts w:cs="Open Sans"/>
        </w:rPr>
        <w:t xml:space="preserve">at der er behov for en række tiltag for at </w:t>
      </w:r>
      <w:r w:rsidRPr="00DB1A19">
        <w:rPr>
          <w:rFonts w:cs="Open Sans"/>
        </w:rPr>
        <w:t>styrke retssikkerheden</w:t>
      </w:r>
      <w:r>
        <w:rPr>
          <w:rFonts w:cs="Open Sans"/>
        </w:rPr>
        <w:t>, der kan bidrage til,</w:t>
      </w:r>
      <w:r w:rsidRPr="00DB1A19">
        <w:rPr>
          <w:rFonts w:cs="Open Sans"/>
        </w:rPr>
        <w:t xml:space="preserve"> at mennesker me</w:t>
      </w:r>
      <w:r>
        <w:rPr>
          <w:rFonts w:cs="Open Sans"/>
        </w:rPr>
        <w:t>d handicap får de ydelser og den hjælp</w:t>
      </w:r>
      <w:r w:rsidRPr="00DB1A19">
        <w:rPr>
          <w:rFonts w:cs="Open Sans"/>
        </w:rPr>
        <w:t>, som de har behov for og ret til - første gang.</w:t>
      </w:r>
    </w:p>
    <w:p w14:paraId="75DCBB4C" w14:textId="77777777" w:rsidR="009079D5" w:rsidRDefault="009079D5" w:rsidP="009079D5">
      <w:pPr>
        <w:spacing w:after="240"/>
      </w:pPr>
      <w:r>
        <w:rPr>
          <w:rFonts w:cs="Open Sans"/>
        </w:rPr>
        <w:t xml:space="preserve">DH’s primære fokus er at sikre større faglighed og en mere enkel lovgivning til gavn for borgerne. Derudover har DH en række forslag til, hvordan retssikkerheden på socialområdet styrkes. </w:t>
      </w:r>
      <w:r>
        <w:t>Forslagene har fokus på at styrke sagsbehandlingen og visitationen, og i forhold til kommuner, der gentagende gange udfordrer retssikkerheden, er der forslag om at styrke tilsynet og ankesystemet.</w:t>
      </w:r>
    </w:p>
    <w:p w14:paraId="300A3657" w14:textId="77777777" w:rsidR="009079D5" w:rsidRDefault="009079D5" w:rsidP="009079D5">
      <w:pPr>
        <w:spacing w:after="240"/>
      </w:pPr>
    </w:p>
    <w:p w14:paraId="12D37875" w14:textId="77777777" w:rsidR="009079D5" w:rsidRDefault="009079D5" w:rsidP="009079D5">
      <w:pPr>
        <w:spacing w:after="240"/>
      </w:pPr>
    </w:p>
    <w:p w14:paraId="55C0D39B" w14:textId="77777777" w:rsidR="009079D5" w:rsidRDefault="009079D5" w:rsidP="009079D5">
      <w:pPr>
        <w:spacing w:after="240"/>
      </w:pPr>
      <w:r>
        <w:t>God læselyst</w:t>
      </w:r>
    </w:p>
    <w:p w14:paraId="6182B680" w14:textId="77777777" w:rsidR="009079D5" w:rsidRDefault="009079D5" w:rsidP="009079D5">
      <w:pPr>
        <w:spacing w:after="240"/>
      </w:pPr>
    </w:p>
    <w:p w14:paraId="6EA03A7E" w14:textId="77777777" w:rsidR="009079D5" w:rsidRDefault="009079D5" w:rsidP="009079D5">
      <w:pPr>
        <w:spacing w:after="240"/>
      </w:pPr>
      <w:r>
        <w:t>Thorkild Olesen</w:t>
      </w:r>
    </w:p>
    <w:p w14:paraId="13F0E67E" w14:textId="77777777" w:rsidR="009079D5" w:rsidRDefault="009079D5" w:rsidP="009079D5">
      <w:pPr>
        <w:spacing w:after="240"/>
      </w:pPr>
      <w:r>
        <w:t>Formand Danske Handicaporganisationer</w:t>
      </w:r>
    </w:p>
    <w:p w14:paraId="1BC726D9" w14:textId="77777777" w:rsidR="009079D5" w:rsidRDefault="009079D5" w:rsidP="009079D5">
      <w:pPr>
        <w:spacing w:after="240"/>
      </w:pPr>
      <w:r>
        <w:br w:type="page"/>
      </w:r>
    </w:p>
    <w:p w14:paraId="422A19B7" w14:textId="77777777" w:rsidR="009079D5" w:rsidRPr="003C2B7F" w:rsidRDefault="009079D5" w:rsidP="009079D5">
      <w:pPr>
        <w:pStyle w:val="Overskrift2"/>
      </w:pPr>
      <w:bookmarkStart w:id="7" w:name="_Toc102388664"/>
      <w:r>
        <w:lastRenderedPageBreak/>
        <w:t>Indholdsfortegnelse</w:t>
      </w:r>
      <w:bookmarkEnd w:id="7"/>
    </w:p>
    <w:p w14:paraId="7A2B3ACB" w14:textId="5782964E" w:rsidR="00D44F3C" w:rsidRDefault="009079D5">
      <w:pPr>
        <w:pStyle w:val="Indholdsfortegnelse1"/>
        <w:tabs>
          <w:tab w:val="right" w:leader="underscore" w:pos="10762"/>
        </w:tabs>
        <w:rPr>
          <w:rFonts w:asciiTheme="minorHAnsi" w:eastAsiaTheme="minorEastAsia" w:hAnsiTheme="minorHAnsi" w:cstheme="minorBidi"/>
          <w:b w:val="0"/>
          <w:noProof/>
          <w:sz w:val="22"/>
          <w:szCs w:val="22"/>
          <w:lang w:eastAsia="da-DK"/>
        </w:rPr>
      </w:pPr>
      <w:r w:rsidRPr="0082448F">
        <w:rPr>
          <w:rFonts w:asciiTheme="minorHAnsi" w:hAnsiTheme="minorHAnsi" w:cs="Open Sans"/>
          <w:i/>
          <w:iCs/>
          <w:sz w:val="18"/>
          <w:szCs w:val="18"/>
        </w:rPr>
        <w:fldChar w:fldCharType="begin"/>
      </w:r>
      <w:r w:rsidRPr="0082448F">
        <w:rPr>
          <w:rFonts w:cs="Open Sans"/>
          <w:sz w:val="18"/>
          <w:szCs w:val="18"/>
        </w:rPr>
        <w:instrText xml:space="preserve"> TOC \o "1-3" \h \z \u </w:instrText>
      </w:r>
      <w:r w:rsidRPr="0082448F">
        <w:rPr>
          <w:rFonts w:asciiTheme="minorHAnsi" w:hAnsiTheme="minorHAnsi" w:cs="Open Sans"/>
          <w:i/>
          <w:iCs/>
          <w:sz w:val="18"/>
          <w:szCs w:val="18"/>
        </w:rPr>
        <w:fldChar w:fldCharType="separate"/>
      </w:r>
      <w:hyperlink w:anchor="_Toc102388663" w:history="1">
        <w:r w:rsidR="00D44F3C" w:rsidRPr="001569FB">
          <w:rPr>
            <w:rStyle w:val="Hyperlink"/>
            <w:noProof/>
          </w:rPr>
          <w:t>DH's Forslagskatalog: Styrkelse af borgerens retssikkerhed på socialområdet</w:t>
        </w:r>
        <w:r w:rsidR="00D44F3C">
          <w:rPr>
            <w:noProof/>
            <w:webHidden/>
          </w:rPr>
          <w:tab/>
        </w:r>
        <w:r w:rsidR="00D44F3C">
          <w:rPr>
            <w:noProof/>
            <w:webHidden/>
          </w:rPr>
          <w:fldChar w:fldCharType="begin"/>
        </w:r>
        <w:r w:rsidR="00D44F3C">
          <w:rPr>
            <w:noProof/>
            <w:webHidden/>
          </w:rPr>
          <w:instrText xml:space="preserve"> PAGEREF _Toc102388663 \h </w:instrText>
        </w:r>
        <w:r w:rsidR="00D44F3C">
          <w:rPr>
            <w:noProof/>
            <w:webHidden/>
          </w:rPr>
        </w:r>
        <w:r w:rsidR="00D44F3C">
          <w:rPr>
            <w:noProof/>
            <w:webHidden/>
          </w:rPr>
          <w:fldChar w:fldCharType="separate"/>
        </w:r>
        <w:r w:rsidR="00D44F3C">
          <w:rPr>
            <w:noProof/>
            <w:webHidden/>
          </w:rPr>
          <w:t>1</w:t>
        </w:r>
        <w:r w:rsidR="00D44F3C">
          <w:rPr>
            <w:noProof/>
            <w:webHidden/>
          </w:rPr>
          <w:fldChar w:fldCharType="end"/>
        </w:r>
      </w:hyperlink>
    </w:p>
    <w:p w14:paraId="677B6A2A" w14:textId="01D063B7" w:rsidR="00D44F3C" w:rsidRDefault="002346DA">
      <w:pPr>
        <w:pStyle w:val="Indholdsfortegnelse2"/>
        <w:tabs>
          <w:tab w:val="right" w:leader="underscore" w:pos="10762"/>
        </w:tabs>
        <w:rPr>
          <w:rFonts w:asciiTheme="minorHAnsi" w:eastAsiaTheme="minorEastAsia" w:hAnsiTheme="minorHAnsi" w:cstheme="minorBidi"/>
          <w:noProof/>
          <w:sz w:val="22"/>
          <w:szCs w:val="22"/>
          <w:lang w:eastAsia="da-DK"/>
        </w:rPr>
      </w:pPr>
      <w:hyperlink w:anchor="_Toc102388664" w:history="1">
        <w:r w:rsidR="00D44F3C" w:rsidRPr="001569FB">
          <w:rPr>
            <w:rStyle w:val="Hyperlink"/>
            <w:noProof/>
          </w:rPr>
          <w:t>Indholdsfortegnelse</w:t>
        </w:r>
        <w:r w:rsidR="00D44F3C">
          <w:rPr>
            <w:noProof/>
            <w:webHidden/>
          </w:rPr>
          <w:tab/>
        </w:r>
        <w:r w:rsidR="00D44F3C">
          <w:rPr>
            <w:noProof/>
            <w:webHidden/>
          </w:rPr>
          <w:fldChar w:fldCharType="begin"/>
        </w:r>
        <w:r w:rsidR="00D44F3C">
          <w:rPr>
            <w:noProof/>
            <w:webHidden/>
          </w:rPr>
          <w:instrText xml:space="preserve"> PAGEREF _Toc102388664 \h </w:instrText>
        </w:r>
        <w:r w:rsidR="00D44F3C">
          <w:rPr>
            <w:noProof/>
            <w:webHidden/>
          </w:rPr>
        </w:r>
        <w:r w:rsidR="00D44F3C">
          <w:rPr>
            <w:noProof/>
            <w:webHidden/>
          </w:rPr>
          <w:fldChar w:fldCharType="separate"/>
        </w:r>
        <w:r w:rsidR="00D44F3C">
          <w:rPr>
            <w:noProof/>
            <w:webHidden/>
          </w:rPr>
          <w:t>2</w:t>
        </w:r>
        <w:r w:rsidR="00D44F3C">
          <w:rPr>
            <w:noProof/>
            <w:webHidden/>
          </w:rPr>
          <w:fldChar w:fldCharType="end"/>
        </w:r>
      </w:hyperlink>
    </w:p>
    <w:p w14:paraId="04A4C72C" w14:textId="1ACE9B2B" w:rsidR="00D44F3C" w:rsidRDefault="002346DA">
      <w:pPr>
        <w:pStyle w:val="Indholdsfortegnelse2"/>
        <w:tabs>
          <w:tab w:val="right" w:leader="underscore" w:pos="10762"/>
        </w:tabs>
        <w:rPr>
          <w:rFonts w:asciiTheme="minorHAnsi" w:eastAsiaTheme="minorEastAsia" w:hAnsiTheme="minorHAnsi" w:cstheme="minorBidi"/>
          <w:noProof/>
          <w:sz w:val="22"/>
          <w:szCs w:val="22"/>
          <w:lang w:eastAsia="da-DK"/>
        </w:rPr>
      </w:pPr>
      <w:hyperlink w:anchor="_Toc102388665" w:history="1">
        <w:r w:rsidR="00D44F3C" w:rsidRPr="001569FB">
          <w:rPr>
            <w:rStyle w:val="Hyperlink"/>
            <w:noProof/>
          </w:rPr>
          <w:t>Indledning</w:t>
        </w:r>
        <w:r w:rsidR="00D44F3C">
          <w:rPr>
            <w:noProof/>
            <w:webHidden/>
          </w:rPr>
          <w:tab/>
        </w:r>
        <w:r w:rsidR="00D44F3C">
          <w:rPr>
            <w:noProof/>
            <w:webHidden/>
          </w:rPr>
          <w:fldChar w:fldCharType="begin"/>
        </w:r>
        <w:r w:rsidR="00D44F3C">
          <w:rPr>
            <w:noProof/>
            <w:webHidden/>
          </w:rPr>
          <w:instrText xml:space="preserve"> PAGEREF _Toc102388665 \h </w:instrText>
        </w:r>
        <w:r w:rsidR="00D44F3C">
          <w:rPr>
            <w:noProof/>
            <w:webHidden/>
          </w:rPr>
        </w:r>
        <w:r w:rsidR="00D44F3C">
          <w:rPr>
            <w:noProof/>
            <w:webHidden/>
          </w:rPr>
          <w:fldChar w:fldCharType="separate"/>
        </w:r>
        <w:r w:rsidR="00D44F3C">
          <w:rPr>
            <w:noProof/>
            <w:webHidden/>
          </w:rPr>
          <w:t>3</w:t>
        </w:r>
        <w:r w:rsidR="00D44F3C">
          <w:rPr>
            <w:noProof/>
            <w:webHidden/>
          </w:rPr>
          <w:fldChar w:fldCharType="end"/>
        </w:r>
      </w:hyperlink>
    </w:p>
    <w:p w14:paraId="40798467" w14:textId="718B7B52" w:rsidR="00D44F3C" w:rsidRDefault="002346DA">
      <w:pPr>
        <w:pStyle w:val="Indholdsfortegnelse2"/>
        <w:tabs>
          <w:tab w:val="right" w:leader="underscore" w:pos="10762"/>
        </w:tabs>
        <w:rPr>
          <w:rFonts w:asciiTheme="minorHAnsi" w:eastAsiaTheme="minorEastAsia" w:hAnsiTheme="minorHAnsi" w:cstheme="minorBidi"/>
          <w:noProof/>
          <w:sz w:val="22"/>
          <w:szCs w:val="22"/>
          <w:lang w:eastAsia="da-DK"/>
        </w:rPr>
      </w:pPr>
      <w:hyperlink w:anchor="_Toc102388666" w:history="1">
        <w:r w:rsidR="00D44F3C" w:rsidRPr="00D44F3C">
          <w:rPr>
            <w:rStyle w:val="Hyperlink"/>
            <w:b/>
            <w:noProof/>
          </w:rPr>
          <w:t>Kvalificering af udredning, sagsbehandling og visitation</w:t>
        </w:r>
        <w:r w:rsidR="00D44F3C">
          <w:rPr>
            <w:noProof/>
            <w:webHidden/>
          </w:rPr>
          <w:tab/>
        </w:r>
        <w:r w:rsidR="00D44F3C">
          <w:rPr>
            <w:noProof/>
            <w:webHidden/>
          </w:rPr>
          <w:fldChar w:fldCharType="begin"/>
        </w:r>
        <w:r w:rsidR="00D44F3C">
          <w:rPr>
            <w:noProof/>
            <w:webHidden/>
          </w:rPr>
          <w:instrText xml:space="preserve"> PAGEREF _Toc102388666 \h </w:instrText>
        </w:r>
        <w:r w:rsidR="00D44F3C">
          <w:rPr>
            <w:noProof/>
            <w:webHidden/>
          </w:rPr>
        </w:r>
        <w:r w:rsidR="00D44F3C">
          <w:rPr>
            <w:noProof/>
            <w:webHidden/>
          </w:rPr>
          <w:fldChar w:fldCharType="separate"/>
        </w:r>
        <w:r w:rsidR="00D44F3C">
          <w:rPr>
            <w:noProof/>
            <w:webHidden/>
          </w:rPr>
          <w:t>5</w:t>
        </w:r>
        <w:r w:rsidR="00D44F3C">
          <w:rPr>
            <w:noProof/>
            <w:webHidden/>
          </w:rPr>
          <w:fldChar w:fldCharType="end"/>
        </w:r>
      </w:hyperlink>
    </w:p>
    <w:p w14:paraId="10D93DB6" w14:textId="2C2F1D91"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67" w:history="1">
        <w:r w:rsidR="00D44F3C" w:rsidRPr="001569FB">
          <w:rPr>
            <w:rStyle w:val="Hyperlink"/>
            <w:noProof/>
          </w:rPr>
          <w:t>1. Faglig undersøgelse skal ligge til grund for afgørelser</w:t>
        </w:r>
        <w:r w:rsidR="00D44F3C">
          <w:rPr>
            <w:noProof/>
            <w:webHidden/>
          </w:rPr>
          <w:tab/>
        </w:r>
        <w:r w:rsidR="00D44F3C">
          <w:rPr>
            <w:noProof/>
            <w:webHidden/>
          </w:rPr>
          <w:fldChar w:fldCharType="begin"/>
        </w:r>
        <w:r w:rsidR="00D44F3C">
          <w:rPr>
            <w:noProof/>
            <w:webHidden/>
          </w:rPr>
          <w:instrText xml:space="preserve"> PAGEREF _Toc102388667 \h </w:instrText>
        </w:r>
        <w:r w:rsidR="00D44F3C">
          <w:rPr>
            <w:noProof/>
            <w:webHidden/>
          </w:rPr>
        </w:r>
        <w:r w:rsidR="00D44F3C">
          <w:rPr>
            <w:noProof/>
            <w:webHidden/>
          </w:rPr>
          <w:fldChar w:fldCharType="separate"/>
        </w:r>
        <w:r w:rsidR="00D44F3C">
          <w:rPr>
            <w:noProof/>
            <w:webHidden/>
          </w:rPr>
          <w:t>5</w:t>
        </w:r>
        <w:r w:rsidR="00D44F3C">
          <w:rPr>
            <w:noProof/>
            <w:webHidden/>
          </w:rPr>
          <w:fldChar w:fldCharType="end"/>
        </w:r>
      </w:hyperlink>
    </w:p>
    <w:p w14:paraId="79211DDF" w14:textId="6DF3D877"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68" w:history="1">
        <w:r w:rsidR="00D44F3C" w:rsidRPr="001569FB">
          <w:rPr>
            <w:rStyle w:val="Hyperlink"/>
            <w:noProof/>
          </w:rPr>
          <w:t>2. Indførelse af udredningsret</w:t>
        </w:r>
        <w:r w:rsidR="00D44F3C">
          <w:rPr>
            <w:noProof/>
            <w:webHidden/>
          </w:rPr>
          <w:tab/>
        </w:r>
        <w:r w:rsidR="00D44F3C">
          <w:rPr>
            <w:noProof/>
            <w:webHidden/>
          </w:rPr>
          <w:fldChar w:fldCharType="begin"/>
        </w:r>
        <w:r w:rsidR="00D44F3C">
          <w:rPr>
            <w:noProof/>
            <w:webHidden/>
          </w:rPr>
          <w:instrText xml:space="preserve"> PAGEREF _Toc102388668 \h </w:instrText>
        </w:r>
        <w:r w:rsidR="00D44F3C">
          <w:rPr>
            <w:noProof/>
            <w:webHidden/>
          </w:rPr>
        </w:r>
        <w:r w:rsidR="00D44F3C">
          <w:rPr>
            <w:noProof/>
            <w:webHidden/>
          </w:rPr>
          <w:fldChar w:fldCharType="separate"/>
        </w:r>
        <w:r w:rsidR="00D44F3C">
          <w:rPr>
            <w:noProof/>
            <w:webHidden/>
          </w:rPr>
          <w:t>5</w:t>
        </w:r>
        <w:r w:rsidR="00D44F3C">
          <w:rPr>
            <w:noProof/>
            <w:webHidden/>
          </w:rPr>
          <w:fldChar w:fldCharType="end"/>
        </w:r>
      </w:hyperlink>
    </w:p>
    <w:p w14:paraId="0683DB0B" w14:textId="712EA699"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69" w:history="1">
        <w:r w:rsidR="00D44F3C" w:rsidRPr="001569FB">
          <w:rPr>
            <w:rStyle w:val="Hyperlink"/>
            <w:noProof/>
          </w:rPr>
          <w:t>3. Ingen indsatser uden inddragelse</w:t>
        </w:r>
        <w:r w:rsidR="00D44F3C">
          <w:rPr>
            <w:noProof/>
            <w:webHidden/>
          </w:rPr>
          <w:tab/>
        </w:r>
        <w:r w:rsidR="00D44F3C">
          <w:rPr>
            <w:noProof/>
            <w:webHidden/>
          </w:rPr>
          <w:fldChar w:fldCharType="begin"/>
        </w:r>
        <w:r w:rsidR="00D44F3C">
          <w:rPr>
            <w:noProof/>
            <w:webHidden/>
          </w:rPr>
          <w:instrText xml:space="preserve"> PAGEREF _Toc102388669 \h </w:instrText>
        </w:r>
        <w:r w:rsidR="00D44F3C">
          <w:rPr>
            <w:noProof/>
            <w:webHidden/>
          </w:rPr>
        </w:r>
        <w:r w:rsidR="00D44F3C">
          <w:rPr>
            <w:noProof/>
            <w:webHidden/>
          </w:rPr>
          <w:fldChar w:fldCharType="separate"/>
        </w:r>
        <w:r w:rsidR="00D44F3C">
          <w:rPr>
            <w:noProof/>
            <w:webHidden/>
          </w:rPr>
          <w:t>5</w:t>
        </w:r>
        <w:r w:rsidR="00D44F3C">
          <w:rPr>
            <w:noProof/>
            <w:webHidden/>
          </w:rPr>
          <w:fldChar w:fldCharType="end"/>
        </w:r>
      </w:hyperlink>
    </w:p>
    <w:p w14:paraId="0B76DF2F" w14:textId="31B00FFD"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70" w:history="1">
        <w:r w:rsidR="00D44F3C" w:rsidRPr="001569FB">
          <w:rPr>
            <w:rStyle w:val="Hyperlink"/>
            <w:noProof/>
          </w:rPr>
          <w:t>4. Fjernelse af unødvendige revurderinger ved uændret behov</w:t>
        </w:r>
        <w:r w:rsidR="00D44F3C">
          <w:rPr>
            <w:noProof/>
            <w:webHidden/>
          </w:rPr>
          <w:tab/>
        </w:r>
        <w:r w:rsidR="00D44F3C">
          <w:rPr>
            <w:noProof/>
            <w:webHidden/>
          </w:rPr>
          <w:fldChar w:fldCharType="begin"/>
        </w:r>
        <w:r w:rsidR="00D44F3C">
          <w:rPr>
            <w:noProof/>
            <w:webHidden/>
          </w:rPr>
          <w:instrText xml:space="preserve"> PAGEREF _Toc102388670 \h </w:instrText>
        </w:r>
        <w:r w:rsidR="00D44F3C">
          <w:rPr>
            <w:noProof/>
            <w:webHidden/>
          </w:rPr>
        </w:r>
        <w:r w:rsidR="00D44F3C">
          <w:rPr>
            <w:noProof/>
            <w:webHidden/>
          </w:rPr>
          <w:fldChar w:fldCharType="separate"/>
        </w:r>
        <w:r w:rsidR="00D44F3C">
          <w:rPr>
            <w:noProof/>
            <w:webHidden/>
          </w:rPr>
          <w:t>6</w:t>
        </w:r>
        <w:r w:rsidR="00D44F3C">
          <w:rPr>
            <w:noProof/>
            <w:webHidden/>
          </w:rPr>
          <w:fldChar w:fldCharType="end"/>
        </w:r>
      </w:hyperlink>
    </w:p>
    <w:p w14:paraId="6A5CCBAA" w14:textId="42E0210B"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71" w:history="1">
        <w:r w:rsidR="00D44F3C" w:rsidRPr="001569FB">
          <w:rPr>
            <w:rStyle w:val="Hyperlink"/>
            <w:noProof/>
          </w:rPr>
          <w:t>5. Nationalt fastsatte sagsbehandlings- og afgørelsesfrister</w:t>
        </w:r>
        <w:r w:rsidR="00D44F3C">
          <w:rPr>
            <w:noProof/>
            <w:webHidden/>
          </w:rPr>
          <w:tab/>
        </w:r>
        <w:r w:rsidR="00D44F3C">
          <w:rPr>
            <w:noProof/>
            <w:webHidden/>
          </w:rPr>
          <w:fldChar w:fldCharType="begin"/>
        </w:r>
        <w:r w:rsidR="00D44F3C">
          <w:rPr>
            <w:noProof/>
            <w:webHidden/>
          </w:rPr>
          <w:instrText xml:space="preserve"> PAGEREF _Toc102388671 \h </w:instrText>
        </w:r>
        <w:r w:rsidR="00D44F3C">
          <w:rPr>
            <w:noProof/>
            <w:webHidden/>
          </w:rPr>
        </w:r>
        <w:r w:rsidR="00D44F3C">
          <w:rPr>
            <w:noProof/>
            <w:webHidden/>
          </w:rPr>
          <w:fldChar w:fldCharType="separate"/>
        </w:r>
        <w:r w:rsidR="00D44F3C">
          <w:rPr>
            <w:noProof/>
            <w:webHidden/>
          </w:rPr>
          <w:t>6</w:t>
        </w:r>
        <w:r w:rsidR="00D44F3C">
          <w:rPr>
            <w:noProof/>
            <w:webHidden/>
          </w:rPr>
          <w:fldChar w:fldCharType="end"/>
        </w:r>
      </w:hyperlink>
    </w:p>
    <w:p w14:paraId="04FE1E70" w14:textId="25C8AC4F"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72" w:history="1">
        <w:r w:rsidR="00D44F3C" w:rsidRPr="001569FB">
          <w:rPr>
            <w:rStyle w:val="Hyperlink"/>
            <w:noProof/>
          </w:rPr>
          <w:t>6. Tid og plads til sagsbehandlernes faglighed med loft over antal sager</w:t>
        </w:r>
        <w:r w:rsidR="00D44F3C">
          <w:rPr>
            <w:noProof/>
            <w:webHidden/>
          </w:rPr>
          <w:tab/>
        </w:r>
        <w:r w:rsidR="00D44F3C">
          <w:rPr>
            <w:noProof/>
            <w:webHidden/>
          </w:rPr>
          <w:fldChar w:fldCharType="begin"/>
        </w:r>
        <w:r w:rsidR="00D44F3C">
          <w:rPr>
            <w:noProof/>
            <w:webHidden/>
          </w:rPr>
          <w:instrText xml:space="preserve"> PAGEREF _Toc102388672 \h </w:instrText>
        </w:r>
        <w:r w:rsidR="00D44F3C">
          <w:rPr>
            <w:noProof/>
            <w:webHidden/>
          </w:rPr>
        </w:r>
        <w:r w:rsidR="00D44F3C">
          <w:rPr>
            <w:noProof/>
            <w:webHidden/>
          </w:rPr>
          <w:fldChar w:fldCharType="separate"/>
        </w:r>
        <w:r w:rsidR="00D44F3C">
          <w:rPr>
            <w:noProof/>
            <w:webHidden/>
          </w:rPr>
          <w:t>7</w:t>
        </w:r>
        <w:r w:rsidR="00D44F3C">
          <w:rPr>
            <w:noProof/>
            <w:webHidden/>
          </w:rPr>
          <w:fldChar w:fldCharType="end"/>
        </w:r>
      </w:hyperlink>
    </w:p>
    <w:p w14:paraId="23E274D3" w14:textId="1A524811"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73" w:history="1">
        <w:r w:rsidR="00D44F3C" w:rsidRPr="001569FB">
          <w:rPr>
            <w:rStyle w:val="Hyperlink"/>
            <w:noProof/>
          </w:rPr>
          <w:t>7. Kvalifikationskrav til sagsbehandlerne på handicapområdet</w:t>
        </w:r>
        <w:r w:rsidR="00D44F3C">
          <w:rPr>
            <w:noProof/>
            <w:webHidden/>
          </w:rPr>
          <w:tab/>
        </w:r>
        <w:r w:rsidR="00D44F3C">
          <w:rPr>
            <w:noProof/>
            <w:webHidden/>
          </w:rPr>
          <w:fldChar w:fldCharType="begin"/>
        </w:r>
        <w:r w:rsidR="00D44F3C">
          <w:rPr>
            <w:noProof/>
            <w:webHidden/>
          </w:rPr>
          <w:instrText xml:space="preserve"> PAGEREF _Toc102388673 \h </w:instrText>
        </w:r>
        <w:r w:rsidR="00D44F3C">
          <w:rPr>
            <w:noProof/>
            <w:webHidden/>
          </w:rPr>
        </w:r>
        <w:r w:rsidR="00D44F3C">
          <w:rPr>
            <w:noProof/>
            <w:webHidden/>
          </w:rPr>
          <w:fldChar w:fldCharType="separate"/>
        </w:r>
        <w:r w:rsidR="00D44F3C">
          <w:rPr>
            <w:noProof/>
            <w:webHidden/>
          </w:rPr>
          <w:t>7</w:t>
        </w:r>
        <w:r w:rsidR="00D44F3C">
          <w:rPr>
            <w:noProof/>
            <w:webHidden/>
          </w:rPr>
          <w:fldChar w:fldCharType="end"/>
        </w:r>
      </w:hyperlink>
    </w:p>
    <w:p w14:paraId="41A876BA" w14:textId="4CA95C1B"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74" w:history="1">
        <w:r w:rsidR="00D44F3C" w:rsidRPr="001569FB">
          <w:rPr>
            <w:rStyle w:val="Hyperlink"/>
            <w:noProof/>
          </w:rPr>
          <w:t>8. Øremærkede midler til udbredelse af sagsbehandlingsmodeller</w:t>
        </w:r>
        <w:r w:rsidR="00D44F3C">
          <w:rPr>
            <w:noProof/>
            <w:webHidden/>
          </w:rPr>
          <w:tab/>
        </w:r>
        <w:r w:rsidR="00D44F3C">
          <w:rPr>
            <w:noProof/>
            <w:webHidden/>
          </w:rPr>
          <w:fldChar w:fldCharType="begin"/>
        </w:r>
        <w:r w:rsidR="00D44F3C">
          <w:rPr>
            <w:noProof/>
            <w:webHidden/>
          </w:rPr>
          <w:instrText xml:space="preserve"> PAGEREF _Toc102388674 \h </w:instrText>
        </w:r>
        <w:r w:rsidR="00D44F3C">
          <w:rPr>
            <w:noProof/>
            <w:webHidden/>
          </w:rPr>
        </w:r>
        <w:r w:rsidR="00D44F3C">
          <w:rPr>
            <w:noProof/>
            <w:webHidden/>
          </w:rPr>
          <w:fldChar w:fldCharType="separate"/>
        </w:r>
        <w:r w:rsidR="00D44F3C">
          <w:rPr>
            <w:noProof/>
            <w:webHidden/>
          </w:rPr>
          <w:t>7</w:t>
        </w:r>
        <w:r w:rsidR="00D44F3C">
          <w:rPr>
            <w:noProof/>
            <w:webHidden/>
          </w:rPr>
          <w:fldChar w:fldCharType="end"/>
        </w:r>
      </w:hyperlink>
    </w:p>
    <w:p w14:paraId="76DFA09F" w14:textId="74A20F7A" w:rsidR="00D44F3C" w:rsidRDefault="002346DA">
      <w:pPr>
        <w:pStyle w:val="Indholdsfortegnelse2"/>
        <w:tabs>
          <w:tab w:val="right" w:leader="underscore" w:pos="10762"/>
        </w:tabs>
        <w:rPr>
          <w:rFonts w:asciiTheme="minorHAnsi" w:eastAsiaTheme="minorEastAsia" w:hAnsiTheme="minorHAnsi" w:cstheme="minorBidi"/>
          <w:noProof/>
          <w:sz w:val="22"/>
          <w:szCs w:val="22"/>
          <w:lang w:eastAsia="da-DK"/>
        </w:rPr>
      </w:pPr>
      <w:hyperlink w:anchor="_Toc102388675" w:history="1">
        <w:r w:rsidR="00D44F3C" w:rsidRPr="00D44F3C">
          <w:rPr>
            <w:rStyle w:val="Hyperlink"/>
            <w:b/>
            <w:noProof/>
          </w:rPr>
          <w:t>Processuel og administrativ understøttelse af sagsbehandlingen</w:t>
        </w:r>
        <w:r w:rsidR="00D44F3C">
          <w:rPr>
            <w:noProof/>
            <w:webHidden/>
          </w:rPr>
          <w:tab/>
        </w:r>
        <w:r w:rsidR="00D44F3C">
          <w:rPr>
            <w:noProof/>
            <w:webHidden/>
          </w:rPr>
          <w:fldChar w:fldCharType="begin"/>
        </w:r>
        <w:r w:rsidR="00D44F3C">
          <w:rPr>
            <w:noProof/>
            <w:webHidden/>
          </w:rPr>
          <w:instrText xml:space="preserve"> PAGEREF _Toc102388675 \h </w:instrText>
        </w:r>
        <w:r w:rsidR="00D44F3C">
          <w:rPr>
            <w:noProof/>
            <w:webHidden/>
          </w:rPr>
        </w:r>
        <w:r w:rsidR="00D44F3C">
          <w:rPr>
            <w:noProof/>
            <w:webHidden/>
          </w:rPr>
          <w:fldChar w:fldCharType="separate"/>
        </w:r>
        <w:r w:rsidR="00D44F3C">
          <w:rPr>
            <w:noProof/>
            <w:webHidden/>
          </w:rPr>
          <w:t>7</w:t>
        </w:r>
        <w:r w:rsidR="00D44F3C">
          <w:rPr>
            <w:noProof/>
            <w:webHidden/>
          </w:rPr>
          <w:fldChar w:fldCharType="end"/>
        </w:r>
      </w:hyperlink>
    </w:p>
    <w:p w14:paraId="7C21F8E8" w14:textId="0367EED3"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76" w:history="1">
        <w:r w:rsidR="00D44F3C" w:rsidRPr="001569FB">
          <w:rPr>
            <w:rStyle w:val="Hyperlink"/>
            <w:noProof/>
          </w:rPr>
          <w:t>9. Uvildig borgerrådgiver i alle kommuner</w:t>
        </w:r>
        <w:r w:rsidR="00D44F3C">
          <w:rPr>
            <w:noProof/>
            <w:webHidden/>
          </w:rPr>
          <w:tab/>
        </w:r>
        <w:r w:rsidR="00D44F3C">
          <w:rPr>
            <w:noProof/>
            <w:webHidden/>
          </w:rPr>
          <w:fldChar w:fldCharType="begin"/>
        </w:r>
        <w:r w:rsidR="00D44F3C">
          <w:rPr>
            <w:noProof/>
            <w:webHidden/>
          </w:rPr>
          <w:instrText xml:space="preserve"> PAGEREF _Toc102388676 \h </w:instrText>
        </w:r>
        <w:r w:rsidR="00D44F3C">
          <w:rPr>
            <w:noProof/>
            <w:webHidden/>
          </w:rPr>
        </w:r>
        <w:r w:rsidR="00D44F3C">
          <w:rPr>
            <w:noProof/>
            <w:webHidden/>
          </w:rPr>
          <w:fldChar w:fldCharType="separate"/>
        </w:r>
        <w:r w:rsidR="00D44F3C">
          <w:rPr>
            <w:noProof/>
            <w:webHidden/>
          </w:rPr>
          <w:t>7</w:t>
        </w:r>
        <w:r w:rsidR="00D44F3C">
          <w:rPr>
            <w:noProof/>
            <w:webHidden/>
          </w:rPr>
          <w:fldChar w:fldCharType="end"/>
        </w:r>
      </w:hyperlink>
    </w:p>
    <w:p w14:paraId="3E56D3F1" w14:textId="377840F0"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77" w:history="1">
        <w:r w:rsidR="00D44F3C" w:rsidRPr="001569FB">
          <w:rPr>
            <w:rStyle w:val="Hyperlink"/>
            <w:noProof/>
          </w:rPr>
          <w:t>10. Borgeren får mulighed for at følge sin egen sag</w:t>
        </w:r>
        <w:r w:rsidR="00D44F3C">
          <w:rPr>
            <w:noProof/>
            <w:webHidden/>
          </w:rPr>
          <w:tab/>
        </w:r>
        <w:r w:rsidR="00D44F3C">
          <w:rPr>
            <w:noProof/>
            <w:webHidden/>
          </w:rPr>
          <w:fldChar w:fldCharType="begin"/>
        </w:r>
        <w:r w:rsidR="00D44F3C">
          <w:rPr>
            <w:noProof/>
            <w:webHidden/>
          </w:rPr>
          <w:instrText xml:space="preserve"> PAGEREF _Toc102388677 \h </w:instrText>
        </w:r>
        <w:r w:rsidR="00D44F3C">
          <w:rPr>
            <w:noProof/>
            <w:webHidden/>
          </w:rPr>
        </w:r>
        <w:r w:rsidR="00D44F3C">
          <w:rPr>
            <w:noProof/>
            <w:webHidden/>
          </w:rPr>
          <w:fldChar w:fldCharType="separate"/>
        </w:r>
        <w:r w:rsidR="00D44F3C">
          <w:rPr>
            <w:noProof/>
            <w:webHidden/>
          </w:rPr>
          <w:t>8</w:t>
        </w:r>
        <w:r w:rsidR="00D44F3C">
          <w:rPr>
            <w:noProof/>
            <w:webHidden/>
          </w:rPr>
          <w:fldChar w:fldCharType="end"/>
        </w:r>
      </w:hyperlink>
    </w:p>
    <w:p w14:paraId="240DA18A" w14:textId="57C71E19" w:rsidR="00D44F3C" w:rsidRDefault="002346DA">
      <w:pPr>
        <w:pStyle w:val="Indholdsfortegnelse2"/>
        <w:tabs>
          <w:tab w:val="right" w:leader="underscore" w:pos="10762"/>
        </w:tabs>
        <w:rPr>
          <w:rFonts w:asciiTheme="minorHAnsi" w:eastAsiaTheme="minorEastAsia" w:hAnsiTheme="minorHAnsi" w:cstheme="minorBidi"/>
          <w:noProof/>
          <w:sz w:val="22"/>
          <w:szCs w:val="22"/>
          <w:lang w:eastAsia="da-DK"/>
        </w:rPr>
      </w:pPr>
      <w:hyperlink w:anchor="_Toc102388678" w:history="1">
        <w:r w:rsidR="00D44F3C" w:rsidRPr="00D44F3C">
          <w:rPr>
            <w:rStyle w:val="Hyperlink"/>
            <w:b/>
            <w:noProof/>
          </w:rPr>
          <w:t>Myndighedsansvar på tværs af sektorer</w:t>
        </w:r>
        <w:r w:rsidR="00D44F3C">
          <w:rPr>
            <w:noProof/>
            <w:webHidden/>
          </w:rPr>
          <w:tab/>
        </w:r>
        <w:r w:rsidR="00D44F3C">
          <w:rPr>
            <w:noProof/>
            <w:webHidden/>
          </w:rPr>
          <w:fldChar w:fldCharType="begin"/>
        </w:r>
        <w:r w:rsidR="00D44F3C">
          <w:rPr>
            <w:noProof/>
            <w:webHidden/>
          </w:rPr>
          <w:instrText xml:space="preserve"> PAGEREF _Toc102388678 \h </w:instrText>
        </w:r>
        <w:r w:rsidR="00D44F3C">
          <w:rPr>
            <w:noProof/>
            <w:webHidden/>
          </w:rPr>
        </w:r>
        <w:r w:rsidR="00D44F3C">
          <w:rPr>
            <w:noProof/>
            <w:webHidden/>
          </w:rPr>
          <w:fldChar w:fldCharType="separate"/>
        </w:r>
        <w:r w:rsidR="00D44F3C">
          <w:rPr>
            <w:noProof/>
            <w:webHidden/>
          </w:rPr>
          <w:t>8</w:t>
        </w:r>
        <w:r w:rsidR="00D44F3C">
          <w:rPr>
            <w:noProof/>
            <w:webHidden/>
          </w:rPr>
          <w:fldChar w:fldCharType="end"/>
        </w:r>
      </w:hyperlink>
    </w:p>
    <w:p w14:paraId="39FAEE92" w14:textId="53535C0B"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79" w:history="1">
        <w:r w:rsidR="00D44F3C" w:rsidRPr="001569FB">
          <w:rPr>
            <w:rStyle w:val="Hyperlink"/>
            <w:noProof/>
          </w:rPr>
          <w:t>11. Kommende hovedlov: Én borger, én plan, én sagsbehandler</w:t>
        </w:r>
        <w:r w:rsidR="00D44F3C">
          <w:rPr>
            <w:noProof/>
            <w:webHidden/>
          </w:rPr>
          <w:tab/>
        </w:r>
        <w:r w:rsidR="00D44F3C">
          <w:rPr>
            <w:noProof/>
            <w:webHidden/>
          </w:rPr>
          <w:fldChar w:fldCharType="begin"/>
        </w:r>
        <w:r w:rsidR="00D44F3C">
          <w:rPr>
            <w:noProof/>
            <w:webHidden/>
          </w:rPr>
          <w:instrText xml:space="preserve"> PAGEREF _Toc102388679 \h </w:instrText>
        </w:r>
        <w:r w:rsidR="00D44F3C">
          <w:rPr>
            <w:noProof/>
            <w:webHidden/>
          </w:rPr>
        </w:r>
        <w:r w:rsidR="00D44F3C">
          <w:rPr>
            <w:noProof/>
            <w:webHidden/>
          </w:rPr>
          <w:fldChar w:fldCharType="separate"/>
        </w:r>
        <w:r w:rsidR="00D44F3C">
          <w:rPr>
            <w:noProof/>
            <w:webHidden/>
          </w:rPr>
          <w:t>8</w:t>
        </w:r>
        <w:r w:rsidR="00D44F3C">
          <w:rPr>
            <w:noProof/>
            <w:webHidden/>
          </w:rPr>
          <w:fldChar w:fldCharType="end"/>
        </w:r>
      </w:hyperlink>
    </w:p>
    <w:p w14:paraId="6A9F1CCC" w14:textId="6E092BFB"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80" w:history="1">
        <w:r w:rsidR="00D44F3C" w:rsidRPr="001569FB">
          <w:rPr>
            <w:rStyle w:val="Hyperlink"/>
            <w:noProof/>
          </w:rPr>
          <w:t>12. Stærkere myndighedsansvar</w:t>
        </w:r>
        <w:r w:rsidR="00D44F3C">
          <w:rPr>
            <w:noProof/>
            <w:webHidden/>
          </w:rPr>
          <w:tab/>
        </w:r>
        <w:r w:rsidR="00D44F3C">
          <w:rPr>
            <w:noProof/>
            <w:webHidden/>
          </w:rPr>
          <w:fldChar w:fldCharType="begin"/>
        </w:r>
        <w:r w:rsidR="00D44F3C">
          <w:rPr>
            <w:noProof/>
            <w:webHidden/>
          </w:rPr>
          <w:instrText xml:space="preserve"> PAGEREF _Toc102388680 \h </w:instrText>
        </w:r>
        <w:r w:rsidR="00D44F3C">
          <w:rPr>
            <w:noProof/>
            <w:webHidden/>
          </w:rPr>
        </w:r>
        <w:r w:rsidR="00D44F3C">
          <w:rPr>
            <w:noProof/>
            <w:webHidden/>
          </w:rPr>
          <w:fldChar w:fldCharType="separate"/>
        </w:r>
        <w:r w:rsidR="00D44F3C">
          <w:rPr>
            <w:noProof/>
            <w:webHidden/>
          </w:rPr>
          <w:t>9</w:t>
        </w:r>
        <w:r w:rsidR="00D44F3C">
          <w:rPr>
            <w:noProof/>
            <w:webHidden/>
          </w:rPr>
          <w:fldChar w:fldCharType="end"/>
        </w:r>
      </w:hyperlink>
    </w:p>
    <w:p w14:paraId="75209C11" w14:textId="67240D75"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81" w:history="1">
        <w:r w:rsidR="00D44F3C" w:rsidRPr="001569FB">
          <w:rPr>
            <w:rStyle w:val="Hyperlink"/>
            <w:noProof/>
          </w:rPr>
          <w:t>13. Placering af sektoransvar</w:t>
        </w:r>
        <w:r w:rsidR="00D44F3C">
          <w:rPr>
            <w:noProof/>
            <w:webHidden/>
          </w:rPr>
          <w:tab/>
        </w:r>
        <w:r w:rsidR="00D44F3C">
          <w:rPr>
            <w:noProof/>
            <w:webHidden/>
          </w:rPr>
          <w:fldChar w:fldCharType="begin"/>
        </w:r>
        <w:r w:rsidR="00D44F3C">
          <w:rPr>
            <w:noProof/>
            <w:webHidden/>
          </w:rPr>
          <w:instrText xml:space="preserve"> PAGEREF _Toc102388681 \h </w:instrText>
        </w:r>
        <w:r w:rsidR="00D44F3C">
          <w:rPr>
            <w:noProof/>
            <w:webHidden/>
          </w:rPr>
        </w:r>
        <w:r w:rsidR="00D44F3C">
          <w:rPr>
            <w:noProof/>
            <w:webHidden/>
          </w:rPr>
          <w:fldChar w:fldCharType="separate"/>
        </w:r>
        <w:r w:rsidR="00D44F3C">
          <w:rPr>
            <w:noProof/>
            <w:webHidden/>
          </w:rPr>
          <w:t>9</w:t>
        </w:r>
        <w:r w:rsidR="00D44F3C">
          <w:rPr>
            <w:noProof/>
            <w:webHidden/>
          </w:rPr>
          <w:fldChar w:fldCharType="end"/>
        </w:r>
      </w:hyperlink>
    </w:p>
    <w:p w14:paraId="7F102FD5" w14:textId="0CCC371B" w:rsidR="00D44F3C" w:rsidRDefault="002346DA">
      <w:pPr>
        <w:pStyle w:val="Indholdsfortegnelse2"/>
        <w:tabs>
          <w:tab w:val="right" w:leader="underscore" w:pos="10762"/>
        </w:tabs>
        <w:rPr>
          <w:rFonts w:asciiTheme="minorHAnsi" w:eastAsiaTheme="minorEastAsia" w:hAnsiTheme="minorHAnsi" w:cstheme="minorBidi"/>
          <w:noProof/>
          <w:sz w:val="22"/>
          <w:szCs w:val="22"/>
          <w:lang w:eastAsia="da-DK"/>
        </w:rPr>
      </w:pPr>
      <w:hyperlink w:anchor="_Toc102388682" w:history="1">
        <w:r w:rsidR="00D44F3C" w:rsidRPr="00D44F3C">
          <w:rPr>
            <w:rStyle w:val="Hyperlink"/>
            <w:b/>
            <w:noProof/>
          </w:rPr>
          <w:t>Styrkede støttemuligheder til borgere, der ikke selv kan klage</w:t>
        </w:r>
        <w:r w:rsidR="00D44F3C">
          <w:rPr>
            <w:noProof/>
            <w:webHidden/>
          </w:rPr>
          <w:tab/>
        </w:r>
        <w:r w:rsidR="00D44F3C">
          <w:rPr>
            <w:noProof/>
            <w:webHidden/>
          </w:rPr>
          <w:fldChar w:fldCharType="begin"/>
        </w:r>
        <w:r w:rsidR="00D44F3C">
          <w:rPr>
            <w:noProof/>
            <w:webHidden/>
          </w:rPr>
          <w:instrText xml:space="preserve"> PAGEREF _Toc102388682 \h </w:instrText>
        </w:r>
        <w:r w:rsidR="00D44F3C">
          <w:rPr>
            <w:noProof/>
            <w:webHidden/>
          </w:rPr>
        </w:r>
        <w:r w:rsidR="00D44F3C">
          <w:rPr>
            <w:noProof/>
            <w:webHidden/>
          </w:rPr>
          <w:fldChar w:fldCharType="separate"/>
        </w:r>
        <w:r w:rsidR="00D44F3C">
          <w:rPr>
            <w:noProof/>
            <w:webHidden/>
          </w:rPr>
          <w:t>9</w:t>
        </w:r>
        <w:r w:rsidR="00D44F3C">
          <w:rPr>
            <w:noProof/>
            <w:webHidden/>
          </w:rPr>
          <w:fldChar w:fldCharType="end"/>
        </w:r>
      </w:hyperlink>
    </w:p>
    <w:p w14:paraId="2B0801BB" w14:textId="58D49B3B"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83" w:history="1">
        <w:r w:rsidR="00D44F3C" w:rsidRPr="001569FB">
          <w:rPr>
            <w:rStyle w:val="Hyperlink"/>
            <w:noProof/>
          </w:rPr>
          <w:t>14. Støttemuligheder for borgere, der ikke selv kan klage</w:t>
        </w:r>
        <w:r w:rsidR="00D44F3C">
          <w:rPr>
            <w:noProof/>
            <w:webHidden/>
          </w:rPr>
          <w:tab/>
        </w:r>
        <w:r w:rsidR="00D44F3C">
          <w:rPr>
            <w:noProof/>
            <w:webHidden/>
          </w:rPr>
          <w:fldChar w:fldCharType="begin"/>
        </w:r>
        <w:r w:rsidR="00D44F3C">
          <w:rPr>
            <w:noProof/>
            <w:webHidden/>
          </w:rPr>
          <w:instrText xml:space="preserve"> PAGEREF _Toc102388683 \h </w:instrText>
        </w:r>
        <w:r w:rsidR="00D44F3C">
          <w:rPr>
            <w:noProof/>
            <w:webHidden/>
          </w:rPr>
        </w:r>
        <w:r w:rsidR="00D44F3C">
          <w:rPr>
            <w:noProof/>
            <w:webHidden/>
          </w:rPr>
          <w:fldChar w:fldCharType="separate"/>
        </w:r>
        <w:r w:rsidR="00D44F3C">
          <w:rPr>
            <w:noProof/>
            <w:webHidden/>
          </w:rPr>
          <w:t>9</w:t>
        </w:r>
        <w:r w:rsidR="00D44F3C">
          <w:rPr>
            <w:noProof/>
            <w:webHidden/>
          </w:rPr>
          <w:fldChar w:fldCharType="end"/>
        </w:r>
      </w:hyperlink>
    </w:p>
    <w:p w14:paraId="6D372671" w14:textId="0770BF80" w:rsidR="00D44F3C" w:rsidRDefault="002346DA">
      <w:pPr>
        <w:pStyle w:val="Indholdsfortegnelse2"/>
        <w:tabs>
          <w:tab w:val="right" w:leader="underscore" w:pos="10762"/>
        </w:tabs>
        <w:rPr>
          <w:rFonts w:asciiTheme="minorHAnsi" w:eastAsiaTheme="minorEastAsia" w:hAnsiTheme="minorHAnsi" w:cstheme="minorBidi"/>
          <w:noProof/>
          <w:sz w:val="22"/>
          <w:szCs w:val="22"/>
          <w:lang w:eastAsia="da-DK"/>
        </w:rPr>
      </w:pPr>
      <w:hyperlink w:anchor="_Toc102388684" w:history="1">
        <w:r w:rsidR="00D44F3C" w:rsidRPr="00D44F3C">
          <w:rPr>
            <w:rStyle w:val="Hyperlink"/>
            <w:b/>
            <w:noProof/>
          </w:rPr>
          <w:t>Kvalificering af ekstern kontrol og ankesystem</w:t>
        </w:r>
        <w:r w:rsidR="00D44F3C">
          <w:rPr>
            <w:noProof/>
            <w:webHidden/>
          </w:rPr>
          <w:tab/>
        </w:r>
        <w:r w:rsidR="00D44F3C">
          <w:rPr>
            <w:noProof/>
            <w:webHidden/>
          </w:rPr>
          <w:fldChar w:fldCharType="begin"/>
        </w:r>
        <w:r w:rsidR="00D44F3C">
          <w:rPr>
            <w:noProof/>
            <w:webHidden/>
          </w:rPr>
          <w:instrText xml:space="preserve"> PAGEREF _Toc102388684 \h </w:instrText>
        </w:r>
        <w:r w:rsidR="00D44F3C">
          <w:rPr>
            <w:noProof/>
            <w:webHidden/>
          </w:rPr>
        </w:r>
        <w:r w:rsidR="00D44F3C">
          <w:rPr>
            <w:noProof/>
            <w:webHidden/>
          </w:rPr>
          <w:fldChar w:fldCharType="separate"/>
        </w:r>
        <w:r w:rsidR="00D44F3C">
          <w:rPr>
            <w:noProof/>
            <w:webHidden/>
          </w:rPr>
          <w:t>10</w:t>
        </w:r>
        <w:r w:rsidR="00D44F3C">
          <w:rPr>
            <w:noProof/>
            <w:webHidden/>
          </w:rPr>
          <w:fldChar w:fldCharType="end"/>
        </w:r>
      </w:hyperlink>
    </w:p>
    <w:p w14:paraId="77CAB023" w14:textId="12E31BA2"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85" w:history="1">
        <w:r w:rsidR="00D44F3C" w:rsidRPr="001569FB">
          <w:rPr>
            <w:rStyle w:val="Hyperlink"/>
            <w:noProof/>
          </w:rPr>
          <w:t>15. Det Kommunale Tilsyns rolle skal være pro-aktivt</w:t>
        </w:r>
        <w:r w:rsidR="00D44F3C">
          <w:rPr>
            <w:noProof/>
            <w:webHidden/>
          </w:rPr>
          <w:tab/>
        </w:r>
        <w:r w:rsidR="00D44F3C">
          <w:rPr>
            <w:noProof/>
            <w:webHidden/>
          </w:rPr>
          <w:fldChar w:fldCharType="begin"/>
        </w:r>
        <w:r w:rsidR="00D44F3C">
          <w:rPr>
            <w:noProof/>
            <w:webHidden/>
          </w:rPr>
          <w:instrText xml:space="preserve"> PAGEREF _Toc102388685 \h </w:instrText>
        </w:r>
        <w:r w:rsidR="00D44F3C">
          <w:rPr>
            <w:noProof/>
            <w:webHidden/>
          </w:rPr>
        </w:r>
        <w:r w:rsidR="00D44F3C">
          <w:rPr>
            <w:noProof/>
            <w:webHidden/>
          </w:rPr>
          <w:fldChar w:fldCharType="separate"/>
        </w:r>
        <w:r w:rsidR="00D44F3C">
          <w:rPr>
            <w:noProof/>
            <w:webHidden/>
          </w:rPr>
          <w:t>10</w:t>
        </w:r>
        <w:r w:rsidR="00D44F3C">
          <w:rPr>
            <w:noProof/>
            <w:webHidden/>
          </w:rPr>
          <w:fldChar w:fldCharType="end"/>
        </w:r>
      </w:hyperlink>
    </w:p>
    <w:p w14:paraId="35D42EEB" w14:textId="165395EE"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86" w:history="1">
        <w:r w:rsidR="00D44F3C" w:rsidRPr="001569FB">
          <w:rPr>
            <w:rStyle w:val="Hyperlink"/>
            <w:noProof/>
          </w:rPr>
          <w:t>16. Tidsfrister og krav til Ankestyrelsens afgørelser og kommunernes efterlevelse af afgørelserne</w:t>
        </w:r>
        <w:r w:rsidR="00D44F3C">
          <w:rPr>
            <w:noProof/>
            <w:webHidden/>
          </w:rPr>
          <w:tab/>
        </w:r>
        <w:r w:rsidR="00D44F3C">
          <w:rPr>
            <w:noProof/>
            <w:webHidden/>
          </w:rPr>
          <w:fldChar w:fldCharType="begin"/>
        </w:r>
        <w:r w:rsidR="00D44F3C">
          <w:rPr>
            <w:noProof/>
            <w:webHidden/>
          </w:rPr>
          <w:instrText xml:space="preserve"> PAGEREF _Toc102388686 \h </w:instrText>
        </w:r>
        <w:r w:rsidR="00D44F3C">
          <w:rPr>
            <w:noProof/>
            <w:webHidden/>
          </w:rPr>
        </w:r>
        <w:r w:rsidR="00D44F3C">
          <w:rPr>
            <w:noProof/>
            <w:webHidden/>
          </w:rPr>
          <w:fldChar w:fldCharType="separate"/>
        </w:r>
        <w:r w:rsidR="00D44F3C">
          <w:rPr>
            <w:noProof/>
            <w:webHidden/>
          </w:rPr>
          <w:t>10</w:t>
        </w:r>
        <w:r w:rsidR="00D44F3C">
          <w:rPr>
            <w:noProof/>
            <w:webHidden/>
          </w:rPr>
          <w:fldChar w:fldCharType="end"/>
        </w:r>
      </w:hyperlink>
    </w:p>
    <w:p w14:paraId="2818BF1F" w14:textId="16A3851F"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87" w:history="1">
        <w:r w:rsidR="00D44F3C" w:rsidRPr="001569FB">
          <w:rPr>
            <w:rStyle w:val="Hyperlink"/>
            <w:noProof/>
          </w:rPr>
          <w:t>17. Opsættende virkning i klagesager om naturalieydelser</w:t>
        </w:r>
        <w:r w:rsidR="00D44F3C">
          <w:rPr>
            <w:noProof/>
            <w:webHidden/>
          </w:rPr>
          <w:tab/>
        </w:r>
        <w:r w:rsidR="00D44F3C">
          <w:rPr>
            <w:noProof/>
            <w:webHidden/>
          </w:rPr>
          <w:fldChar w:fldCharType="begin"/>
        </w:r>
        <w:r w:rsidR="00D44F3C">
          <w:rPr>
            <w:noProof/>
            <w:webHidden/>
          </w:rPr>
          <w:instrText xml:space="preserve"> PAGEREF _Toc102388687 \h </w:instrText>
        </w:r>
        <w:r w:rsidR="00D44F3C">
          <w:rPr>
            <w:noProof/>
            <w:webHidden/>
          </w:rPr>
        </w:r>
        <w:r w:rsidR="00D44F3C">
          <w:rPr>
            <w:noProof/>
            <w:webHidden/>
          </w:rPr>
          <w:fldChar w:fldCharType="separate"/>
        </w:r>
        <w:r w:rsidR="00D44F3C">
          <w:rPr>
            <w:noProof/>
            <w:webHidden/>
          </w:rPr>
          <w:t>11</w:t>
        </w:r>
        <w:r w:rsidR="00D44F3C">
          <w:rPr>
            <w:noProof/>
            <w:webHidden/>
          </w:rPr>
          <w:fldChar w:fldCharType="end"/>
        </w:r>
      </w:hyperlink>
    </w:p>
    <w:p w14:paraId="5868C241" w14:textId="0D6846BC"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88" w:history="1">
        <w:r w:rsidR="00D44F3C" w:rsidRPr="001569FB">
          <w:rPr>
            <w:rStyle w:val="Hyperlink"/>
            <w:noProof/>
          </w:rPr>
          <w:t>18. Model for ophør af kommuners grænsesøgende afgørelser</w:t>
        </w:r>
        <w:r w:rsidR="00D44F3C">
          <w:rPr>
            <w:noProof/>
            <w:webHidden/>
          </w:rPr>
          <w:tab/>
        </w:r>
        <w:r w:rsidR="00D44F3C">
          <w:rPr>
            <w:noProof/>
            <w:webHidden/>
          </w:rPr>
          <w:fldChar w:fldCharType="begin"/>
        </w:r>
        <w:r w:rsidR="00D44F3C">
          <w:rPr>
            <w:noProof/>
            <w:webHidden/>
          </w:rPr>
          <w:instrText xml:space="preserve"> PAGEREF _Toc102388688 \h </w:instrText>
        </w:r>
        <w:r w:rsidR="00D44F3C">
          <w:rPr>
            <w:noProof/>
            <w:webHidden/>
          </w:rPr>
        </w:r>
        <w:r w:rsidR="00D44F3C">
          <w:rPr>
            <w:noProof/>
            <w:webHidden/>
          </w:rPr>
          <w:fldChar w:fldCharType="separate"/>
        </w:r>
        <w:r w:rsidR="00D44F3C">
          <w:rPr>
            <w:noProof/>
            <w:webHidden/>
          </w:rPr>
          <w:t>11</w:t>
        </w:r>
        <w:r w:rsidR="00D44F3C">
          <w:rPr>
            <w:noProof/>
            <w:webHidden/>
          </w:rPr>
          <w:fldChar w:fldCharType="end"/>
        </w:r>
      </w:hyperlink>
    </w:p>
    <w:p w14:paraId="45F12815" w14:textId="2FEDF637"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89" w:history="1">
        <w:r w:rsidR="00D44F3C" w:rsidRPr="001569FB">
          <w:rPr>
            <w:rStyle w:val="Hyperlink"/>
            <w:noProof/>
          </w:rPr>
          <w:t>19. Ankestyrelsens prøvelsesret skal styrkes</w:t>
        </w:r>
        <w:r w:rsidR="00D44F3C">
          <w:rPr>
            <w:noProof/>
            <w:webHidden/>
          </w:rPr>
          <w:tab/>
        </w:r>
        <w:r w:rsidR="00D44F3C">
          <w:rPr>
            <w:noProof/>
            <w:webHidden/>
          </w:rPr>
          <w:fldChar w:fldCharType="begin"/>
        </w:r>
        <w:r w:rsidR="00D44F3C">
          <w:rPr>
            <w:noProof/>
            <w:webHidden/>
          </w:rPr>
          <w:instrText xml:space="preserve"> PAGEREF _Toc102388689 \h </w:instrText>
        </w:r>
        <w:r w:rsidR="00D44F3C">
          <w:rPr>
            <w:noProof/>
            <w:webHidden/>
          </w:rPr>
        </w:r>
        <w:r w:rsidR="00D44F3C">
          <w:rPr>
            <w:noProof/>
            <w:webHidden/>
          </w:rPr>
          <w:fldChar w:fldCharType="separate"/>
        </w:r>
        <w:r w:rsidR="00D44F3C">
          <w:rPr>
            <w:noProof/>
            <w:webHidden/>
          </w:rPr>
          <w:t>11</w:t>
        </w:r>
        <w:r w:rsidR="00D44F3C">
          <w:rPr>
            <w:noProof/>
            <w:webHidden/>
          </w:rPr>
          <w:fldChar w:fldCharType="end"/>
        </w:r>
      </w:hyperlink>
    </w:p>
    <w:p w14:paraId="4F9B79C1" w14:textId="7FA95383"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90" w:history="1">
        <w:r w:rsidR="00D44F3C" w:rsidRPr="001569FB">
          <w:rPr>
            <w:rStyle w:val="Hyperlink"/>
            <w:noProof/>
          </w:rPr>
          <w:t>20. Flere praksisundersøgelser og systematisk opfølgning</w:t>
        </w:r>
        <w:r w:rsidR="00D44F3C">
          <w:rPr>
            <w:noProof/>
            <w:webHidden/>
          </w:rPr>
          <w:tab/>
        </w:r>
        <w:r w:rsidR="00D44F3C">
          <w:rPr>
            <w:noProof/>
            <w:webHidden/>
          </w:rPr>
          <w:fldChar w:fldCharType="begin"/>
        </w:r>
        <w:r w:rsidR="00D44F3C">
          <w:rPr>
            <w:noProof/>
            <w:webHidden/>
          </w:rPr>
          <w:instrText xml:space="preserve"> PAGEREF _Toc102388690 \h </w:instrText>
        </w:r>
        <w:r w:rsidR="00D44F3C">
          <w:rPr>
            <w:noProof/>
            <w:webHidden/>
          </w:rPr>
        </w:r>
        <w:r w:rsidR="00D44F3C">
          <w:rPr>
            <w:noProof/>
            <w:webHidden/>
          </w:rPr>
          <w:fldChar w:fldCharType="separate"/>
        </w:r>
        <w:r w:rsidR="00D44F3C">
          <w:rPr>
            <w:noProof/>
            <w:webHidden/>
          </w:rPr>
          <w:t>12</w:t>
        </w:r>
        <w:r w:rsidR="00D44F3C">
          <w:rPr>
            <w:noProof/>
            <w:webHidden/>
          </w:rPr>
          <w:fldChar w:fldCharType="end"/>
        </w:r>
      </w:hyperlink>
    </w:p>
    <w:p w14:paraId="1A9ACFEF" w14:textId="5DE104C6"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91" w:history="1">
        <w:r w:rsidR="00D44F3C" w:rsidRPr="001569FB">
          <w:rPr>
            <w:rStyle w:val="Hyperlink"/>
            <w:noProof/>
          </w:rPr>
          <w:t>21. Opgør med kommunale ’bunkeafgørelser’</w:t>
        </w:r>
        <w:r w:rsidR="00D44F3C">
          <w:rPr>
            <w:noProof/>
            <w:webHidden/>
          </w:rPr>
          <w:tab/>
        </w:r>
        <w:r w:rsidR="00D44F3C">
          <w:rPr>
            <w:noProof/>
            <w:webHidden/>
          </w:rPr>
          <w:fldChar w:fldCharType="begin"/>
        </w:r>
        <w:r w:rsidR="00D44F3C">
          <w:rPr>
            <w:noProof/>
            <w:webHidden/>
          </w:rPr>
          <w:instrText xml:space="preserve"> PAGEREF _Toc102388691 \h </w:instrText>
        </w:r>
        <w:r w:rsidR="00D44F3C">
          <w:rPr>
            <w:noProof/>
            <w:webHidden/>
          </w:rPr>
        </w:r>
        <w:r w:rsidR="00D44F3C">
          <w:rPr>
            <w:noProof/>
            <w:webHidden/>
          </w:rPr>
          <w:fldChar w:fldCharType="separate"/>
        </w:r>
        <w:r w:rsidR="00D44F3C">
          <w:rPr>
            <w:noProof/>
            <w:webHidden/>
          </w:rPr>
          <w:t>12</w:t>
        </w:r>
        <w:r w:rsidR="00D44F3C">
          <w:rPr>
            <w:noProof/>
            <w:webHidden/>
          </w:rPr>
          <w:fldChar w:fldCharType="end"/>
        </w:r>
      </w:hyperlink>
    </w:p>
    <w:p w14:paraId="4027D01A" w14:textId="432BE975"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92" w:history="1">
        <w:r w:rsidR="00D44F3C" w:rsidRPr="001569FB">
          <w:rPr>
            <w:rStyle w:val="Hyperlink"/>
            <w:noProof/>
          </w:rPr>
          <w:t>22. Alle ankesager skal mødebehandles</w:t>
        </w:r>
        <w:r w:rsidR="00D44F3C">
          <w:rPr>
            <w:noProof/>
            <w:webHidden/>
          </w:rPr>
          <w:tab/>
        </w:r>
        <w:r w:rsidR="00D44F3C">
          <w:rPr>
            <w:noProof/>
            <w:webHidden/>
          </w:rPr>
          <w:fldChar w:fldCharType="begin"/>
        </w:r>
        <w:r w:rsidR="00D44F3C">
          <w:rPr>
            <w:noProof/>
            <w:webHidden/>
          </w:rPr>
          <w:instrText xml:space="preserve"> PAGEREF _Toc102388692 \h </w:instrText>
        </w:r>
        <w:r w:rsidR="00D44F3C">
          <w:rPr>
            <w:noProof/>
            <w:webHidden/>
          </w:rPr>
        </w:r>
        <w:r w:rsidR="00D44F3C">
          <w:rPr>
            <w:noProof/>
            <w:webHidden/>
          </w:rPr>
          <w:fldChar w:fldCharType="separate"/>
        </w:r>
        <w:r w:rsidR="00D44F3C">
          <w:rPr>
            <w:noProof/>
            <w:webHidden/>
          </w:rPr>
          <w:t>13</w:t>
        </w:r>
        <w:r w:rsidR="00D44F3C">
          <w:rPr>
            <w:noProof/>
            <w:webHidden/>
          </w:rPr>
          <w:fldChar w:fldCharType="end"/>
        </w:r>
      </w:hyperlink>
    </w:p>
    <w:p w14:paraId="52674BD6" w14:textId="309D1AC8" w:rsidR="00D44F3C" w:rsidRDefault="002346DA">
      <w:pPr>
        <w:pStyle w:val="Indholdsfortegnelse3"/>
        <w:tabs>
          <w:tab w:val="right" w:leader="underscore" w:pos="10762"/>
        </w:tabs>
        <w:rPr>
          <w:rFonts w:asciiTheme="minorHAnsi" w:eastAsiaTheme="minorEastAsia" w:hAnsiTheme="minorHAnsi" w:cstheme="minorBidi"/>
          <w:noProof/>
          <w:sz w:val="22"/>
          <w:szCs w:val="22"/>
          <w:lang w:eastAsia="da-DK"/>
        </w:rPr>
      </w:pPr>
      <w:hyperlink w:anchor="_Toc102388693" w:history="1">
        <w:r w:rsidR="00D44F3C" w:rsidRPr="001569FB">
          <w:rPr>
            <w:rStyle w:val="Hyperlink"/>
            <w:noProof/>
          </w:rPr>
          <w:t>23. DH skal deltage i Ankestyrelsens fora på lige fod med KL</w:t>
        </w:r>
        <w:r w:rsidR="00D44F3C">
          <w:rPr>
            <w:noProof/>
            <w:webHidden/>
          </w:rPr>
          <w:tab/>
        </w:r>
        <w:r w:rsidR="00D44F3C">
          <w:rPr>
            <w:noProof/>
            <w:webHidden/>
          </w:rPr>
          <w:fldChar w:fldCharType="begin"/>
        </w:r>
        <w:r w:rsidR="00D44F3C">
          <w:rPr>
            <w:noProof/>
            <w:webHidden/>
          </w:rPr>
          <w:instrText xml:space="preserve"> PAGEREF _Toc102388693 \h </w:instrText>
        </w:r>
        <w:r w:rsidR="00D44F3C">
          <w:rPr>
            <w:noProof/>
            <w:webHidden/>
          </w:rPr>
        </w:r>
        <w:r w:rsidR="00D44F3C">
          <w:rPr>
            <w:noProof/>
            <w:webHidden/>
          </w:rPr>
          <w:fldChar w:fldCharType="separate"/>
        </w:r>
        <w:r w:rsidR="00D44F3C">
          <w:rPr>
            <w:noProof/>
            <w:webHidden/>
          </w:rPr>
          <w:t>13</w:t>
        </w:r>
        <w:r w:rsidR="00D44F3C">
          <w:rPr>
            <w:noProof/>
            <w:webHidden/>
          </w:rPr>
          <w:fldChar w:fldCharType="end"/>
        </w:r>
      </w:hyperlink>
    </w:p>
    <w:p w14:paraId="6DB3F7DB" w14:textId="1DB66AC8" w:rsidR="009079D5" w:rsidRDefault="009079D5" w:rsidP="009079D5">
      <w:pPr>
        <w:pStyle w:val="Overskrift2"/>
        <w:rPr>
          <w:sz w:val="18"/>
          <w:szCs w:val="18"/>
        </w:rPr>
      </w:pPr>
      <w:r w:rsidRPr="0082448F">
        <w:rPr>
          <w:sz w:val="18"/>
          <w:szCs w:val="18"/>
        </w:rPr>
        <w:fldChar w:fldCharType="end"/>
      </w:r>
      <w:bookmarkStart w:id="8" w:name="_Toc90284224"/>
      <w:bookmarkStart w:id="9" w:name="_Toc90291128"/>
      <w:bookmarkStart w:id="10" w:name="_Toc90291244"/>
      <w:r>
        <w:rPr>
          <w:sz w:val="18"/>
          <w:szCs w:val="18"/>
        </w:rPr>
        <w:br w:type="page"/>
      </w:r>
    </w:p>
    <w:p w14:paraId="2C3870D0" w14:textId="77777777" w:rsidR="009079D5" w:rsidRPr="00A44EE4" w:rsidRDefault="009079D5" w:rsidP="009079D5">
      <w:pPr>
        <w:pStyle w:val="Overskrift2"/>
      </w:pPr>
      <w:bookmarkStart w:id="11" w:name="_Toc102388665"/>
      <w:r>
        <w:lastRenderedPageBreak/>
        <w:t>Indledning</w:t>
      </w:r>
      <w:bookmarkEnd w:id="8"/>
      <w:bookmarkEnd w:id="9"/>
      <w:bookmarkEnd w:id="10"/>
      <w:bookmarkEnd w:id="11"/>
    </w:p>
    <w:p w14:paraId="0C4CB6E7" w14:textId="77777777" w:rsidR="009079D5" w:rsidRDefault="009079D5" w:rsidP="009079D5">
      <w:pPr>
        <w:rPr>
          <w:rStyle w:val="Underoverskrift"/>
        </w:rPr>
      </w:pPr>
      <w:r w:rsidRPr="00A44EE4">
        <w:rPr>
          <w:rStyle w:val="Underoverskrift"/>
        </w:rPr>
        <w:t>Hvad er retssikkerhed?</w:t>
      </w:r>
    </w:p>
    <w:p w14:paraId="76117F80" w14:textId="77777777" w:rsidR="009079D5" w:rsidRDefault="009079D5" w:rsidP="009079D5">
      <w:r w:rsidRPr="00DB1A19">
        <w:t xml:space="preserve">De lovbestemte regler om retssikkerhed </w:t>
      </w:r>
      <w:r>
        <w:t xml:space="preserve">på socialområdet </w:t>
      </w:r>
      <w:r w:rsidRPr="00DB1A19">
        <w:t xml:space="preserve">er reguleret i forvaltningsloven, retssikkerhedsloven og serviceloven. </w:t>
      </w:r>
      <w:r>
        <w:t>R</w:t>
      </w:r>
      <w:r w:rsidRPr="00DB1A19">
        <w:t xml:space="preserve">eglernes hensigt er bemærket i de oprindelige lovforslag fra 1985, 1996 og 1997. Retssikkerhed handler om, </w:t>
      </w:r>
      <w:r>
        <w:t>at:</w:t>
      </w:r>
    </w:p>
    <w:p w14:paraId="18554B90" w14:textId="77777777" w:rsidR="009079D5" w:rsidRDefault="009079D5" w:rsidP="009079D5">
      <w:pPr>
        <w:pStyle w:val="Listeafsnit"/>
        <w:numPr>
          <w:ilvl w:val="0"/>
          <w:numId w:val="31"/>
        </w:numPr>
        <w:rPr>
          <w:rFonts w:asciiTheme="minorHAnsi" w:hAnsiTheme="minorHAnsi" w:cstheme="minorHAnsi"/>
          <w:sz w:val="20"/>
        </w:rPr>
      </w:pPr>
      <w:r w:rsidRPr="00B7166D">
        <w:rPr>
          <w:rFonts w:asciiTheme="minorHAnsi" w:hAnsiTheme="minorHAnsi" w:cstheme="minorHAnsi"/>
          <w:sz w:val="20"/>
        </w:rPr>
        <w:t>Borgere modtager en helhedsorienteret og sammenhængende hjælp, der tager udgangspunkt i den enkeltes behov, gennem en individuel og konkret vurdering.</w:t>
      </w:r>
    </w:p>
    <w:p w14:paraId="1B4082BF" w14:textId="77777777" w:rsidR="009079D5" w:rsidRPr="00B7166D" w:rsidRDefault="009079D5" w:rsidP="009079D5">
      <w:pPr>
        <w:pStyle w:val="Listeafsnit"/>
        <w:numPr>
          <w:ilvl w:val="0"/>
          <w:numId w:val="31"/>
        </w:numPr>
        <w:rPr>
          <w:rFonts w:asciiTheme="minorHAnsi" w:hAnsiTheme="minorHAnsi" w:cstheme="minorHAnsi"/>
          <w:sz w:val="20"/>
        </w:rPr>
      </w:pPr>
      <w:r w:rsidRPr="00B7166D">
        <w:rPr>
          <w:rFonts w:asciiTheme="minorHAnsi" w:hAnsiTheme="minorHAnsi" w:cstheme="minorHAnsi"/>
          <w:sz w:val="20"/>
        </w:rPr>
        <w:t>Borgere hurtigst muligt får den ydelse, som vedkommende har krav på efter lovgivningen, som bygger på en saglig afgørelse truffet på baggrund af et fyldestgørende oplysningsgrundlag.</w:t>
      </w:r>
    </w:p>
    <w:p w14:paraId="14E48C0B" w14:textId="77777777" w:rsidR="009079D5" w:rsidRPr="00B7166D" w:rsidRDefault="009079D5" w:rsidP="009079D5">
      <w:pPr>
        <w:pStyle w:val="Listeafsnit"/>
        <w:numPr>
          <w:ilvl w:val="0"/>
          <w:numId w:val="31"/>
        </w:numPr>
        <w:rPr>
          <w:rFonts w:asciiTheme="minorHAnsi" w:hAnsiTheme="minorHAnsi" w:cstheme="minorHAnsi"/>
        </w:rPr>
      </w:pPr>
      <w:r w:rsidRPr="00B7166D">
        <w:rPr>
          <w:rFonts w:asciiTheme="minorHAnsi" w:hAnsiTheme="minorHAnsi" w:cstheme="minorHAnsi"/>
          <w:sz w:val="20"/>
        </w:rPr>
        <w:t>Borgere har mulighed for at medvirke til og har indflydelse på sin sag.</w:t>
      </w:r>
    </w:p>
    <w:p w14:paraId="1EDD2D62" w14:textId="77777777" w:rsidR="009079D5" w:rsidRPr="00B7166D" w:rsidRDefault="009079D5" w:rsidP="009079D5">
      <w:pPr>
        <w:pStyle w:val="Listeafsnit"/>
        <w:numPr>
          <w:ilvl w:val="0"/>
          <w:numId w:val="31"/>
        </w:numPr>
        <w:rPr>
          <w:rFonts w:asciiTheme="minorHAnsi" w:hAnsiTheme="minorHAnsi" w:cstheme="minorHAnsi"/>
        </w:rPr>
      </w:pPr>
      <w:r w:rsidRPr="00B7166D">
        <w:rPr>
          <w:rFonts w:asciiTheme="minorHAnsi" w:hAnsiTheme="minorHAnsi" w:cstheme="minorHAnsi"/>
          <w:sz w:val="20"/>
        </w:rPr>
        <w:t>Der er respekt, god dialog og gennemsigtighed i afgørelser og retsstilling, og at man kan stole på, at den visiterende myndighed behandler ens sag ud fra alle muligheder for hjælp.</w:t>
      </w:r>
    </w:p>
    <w:p w14:paraId="2622C299" w14:textId="77777777" w:rsidR="009079D5" w:rsidRPr="006D70B6" w:rsidRDefault="009079D5" w:rsidP="009079D5">
      <w:pPr>
        <w:rPr>
          <w:rFonts w:cs="Open Sans"/>
        </w:rPr>
      </w:pPr>
      <w:r>
        <w:t>Retssikkerheden</w:t>
      </w:r>
      <w:r w:rsidRPr="007C29EE">
        <w:t xml:space="preserve"> sikres</w:t>
      </w:r>
      <w:r>
        <w:t xml:space="preserve"> i lovgivningen</w:t>
      </w:r>
      <w:r w:rsidRPr="006D70B6">
        <w:t xml:space="preserve"> </w:t>
      </w:r>
      <w:r>
        <w:t>ved</w:t>
      </w:r>
      <w:r w:rsidRPr="006D70B6">
        <w:t xml:space="preserve"> en tydelig formulering af borgeres rettigheder</w:t>
      </w:r>
      <w:r>
        <w:t xml:space="preserve"> og</w:t>
      </w:r>
      <w:r w:rsidRPr="007C29EE">
        <w:t xml:space="preserve"> </w:t>
      </w:r>
      <w:r>
        <w:t>gennem fastsættelse af</w:t>
      </w:r>
      <w:r w:rsidRPr="007C29EE">
        <w:t xml:space="preserve"> et sæt grundlæggende regler for, hvordan kom</w:t>
      </w:r>
      <w:r w:rsidRPr="006D70B6">
        <w:t>munen behandler sociale sager.</w:t>
      </w:r>
      <w:r>
        <w:t xml:space="preserve"> Derudover sikres det</w:t>
      </w:r>
      <w:r w:rsidRPr="007C29EE">
        <w:t xml:space="preserve"> gennem et Ankesystem, der fører tilsyn med retssikkerheden, og giver borgeren mulighed for at klage over en afgørelse. </w:t>
      </w:r>
      <w:r w:rsidRPr="006D70B6">
        <w:rPr>
          <w:rFonts w:cs="Open Sans"/>
        </w:rPr>
        <w:t xml:space="preserve">God forvaltningsskik og retssikkerhed giver større sandsynlighed for, at en afgørelse er indholdsmæssig rigtig. </w:t>
      </w:r>
      <w:r w:rsidRPr="007C29EE">
        <w:rPr>
          <w:rFonts w:cs="Open Sans"/>
        </w:rPr>
        <w:t xml:space="preserve">Samtidig handler god </w:t>
      </w:r>
      <w:r w:rsidRPr="006D70B6">
        <w:rPr>
          <w:rFonts w:cs="Open Sans"/>
        </w:rPr>
        <w:t xml:space="preserve">retssikkerhed </w:t>
      </w:r>
      <w:r w:rsidRPr="007C29EE">
        <w:rPr>
          <w:rFonts w:cs="Open Sans"/>
        </w:rPr>
        <w:t>om</w:t>
      </w:r>
      <w:r w:rsidRPr="006D70B6">
        <w:rPr>
          <w:rFonts w:cs="Open Sans"/>
        </w:rPr>
        <w:t xml:space="preserve"> at skabe en praksis, hvor borgerne oplever </w:t>
      </w:r>
      <w:r>
        <w:rPr>
          <w:rFonts w:cs="Open Sans"/>
        </w:rPr>
        <w:t>myndighederne</w:t>
      </w:r>
      <w:r w:rsidRPr="006D70B6">
        <w:rPr>
          <w:rFonts w:cs="Open Sans"/>
        </w:rPr>
        <w:t>, som en medspiller i stedet for en modspiller.</w:t>
      </w:r>
    </w:p>
    <w:p w14:paraId="1E9031B0" w14:textId="77777777" w:rsidR="009079D5" w:rsidRDefault="009079D5" w:rsidP="009079D5"/>
    <w:p w14:paraId="1CCEF911" w14:textId="77777777" w:rsidR="009079D5" w:rsidRPr="00A44EE4" w:rsidRDefault="009079D5" w:rsidP="009079D5">
      <w:pPr>
        <w:rPr>
          <w:rStyle w:val="Underoverskrift"/>
        </w:rPr>
      </w:pPr>
      <w:r w:rsidRPr="00A44EE4">
        <w:rPr>
          <w:rStyle w:val="Underoverskrift"/>
        </w:rPr>
        <w:t>En kamp at få hjælp</w:t>
      </w:r>
    </w:p>
    <w:p w14:paraId="4B35C9A2" w14:textId="77777777" w:rsidR="009079D5" w:rsidRDefault="009079D5" w:rsidP="009079D5">
      <w:pPr>
        <w:spacing w:after="240"/>
        <w:rPr>
          <w:rFonts w:cs="Open Sans"/>
        </w:rPr>
      </w:pPr>
      <w:r>
        <w:rPr>
          <w:rFonts w:cs="Open Sans"/>
        </w:rPr>
        <w:t>På trods af hensigten ved de gældende regler, er det f</w:t>
      </w:r>
      <w:r w:rsidRPr="00DB1A19">
        <w:rPr>
          <w:rFonts w:cs="Open Sans"/>
        </w:rPr>
        <w:t>or mange mennesker med handicap og deres pårørende en kamp at få den rigtige</w:t>
      </w:r>
      <w:r>
        <w:rPr>
          <w:rFonts w:cs="Open Sans"/>
        </w:rPr>
        <w:t xml:space="preserve"> og</w:t>
      </w:r>
      <w:r w:rsidRPr="00DB1A19">
        <w:rPr>
          <w:rFonts w:cs="Open Sans"/>
        </w:rPr>
        <w:t xml:space="preserve"> rettidige hjælp</w:t>
      </w:r>
      <w:r>
        <w:rPr>
          <w:rFonts w:cs="Open Sans"/>
        </w:rPr>
        <w:t>. Ligeledes kan hjælpen være afhængig af, hvilken kommune man bor i og af den enkelte sagsbehandler</w:t>
      </w:r>
      <w:r w:rsidRPr="00DB1A19">
        <w:rPr>
          <w:rFonts w:cs="Open Sans"/>
        </w:rPr>
        <w:t>.</w:t>
      </w:r>
    </w:p>
    <w:p w14:paraId="69851820" w14:textId="77777777" w:rsidR="009079D5" w:rsidRPr="00DA1131" w:rsidRDefault="009079D5" w:rsidP="009079D5">
      <w:pPr>
        <w:spacing w:after="240"/>
        <w:rPr>
          <w:rFonts w:cs="Open Sans"/>
        </w:rPr>
      </w:pPr>
      <w:r>
        <w:rPr>
          <w:rFonts w:cs="Open Sans"/>
        </w:rPr>
        <w:t>På baggrund af tal fra VIVE anslås det</w:t>
      </w:r>
      <w:r w:rsidRPr="00DB1A19">
        <w:rPr>
          <w:rFonts w:cs="Open Sans"/>
        </w:rPr>
        <w:t xml:space="preserve">, at mellem </w:t>
      </w:r>
      <w:r>
        <w:rPr>
          <w:rFonts w:cs="Open Sans"/>
        </w:rPr>
        <w:t>270</w:t>
      </w:r>
      <w:r w:rsidRPr="00DB1A19">
        <w:rPr>
          <w:rFonts w:cs="Open Sans"/>
        </w:rPr>
        <w:t>-3</w:t>
      </w:r>
      <w:r>
        <w:rPr>
          <w:rFonts w:cs="Open Sans"/>
        </w:rPr>
        <w:t>30</w:t>
      </w:r>
      <w:r w:rsidRPr="00DB1A19">
        <w:rPr>
          <w:rFonts w:cs="Open Sans"/>
        </w:rPr>
        <w:t>.000</w:t>
      </w:r>
      <w:r>
        <w:rPr>
          <w:rStyle w:val="Fodnotehenvisning"/>
          <w:rFonts w:cs="Open Sans"/>
        </w:rPr>
        <w:footnoteReference w:id="1"/>
      </w:r>
      <w:r>
        <w:rPr>
          <w:rFonts w:cs="Open Sans"/>
        </w:rPr>
        <w:t xml:space="preserve"> danskere mellem 16-64 år,</w:t>
      </w:r>
      <w:r w:rsidRPr="00DB1A19">
        <w:rPr>
          <w:rFonts w:cs="Open Sans"/>
        </w:rPr>
        <w:t xml:space="preserve"> </w:t>
      </w:r>
      <w:r>
        <w:rPr>
          <w:rFonts w:cs="Open Sans"/>
        </w:rPr>
        <w:t xml:space="preserve">med et større eller mindre handicap, </w:t>
      </w:r>
      <w:r w:rsidRPr="00DB1A19">
        <w:rPr>
          <w:rFonts w:cs="Open Sans"/>
        </w:rPr>
        <w:t xml:space="preserve">har haft kontakt til kommunen inden for det seneste år </w:t>
      </w:r>
      <w:r>
        <w:rPr>
          <w:rFonts w:cs="Open Sans"/>
        </w:rPr>
        <w:t>på vegne af sig selv</w:t>
      </w:r>
      <w:r w:rsidRPr="00DB1A19">
        <w:rPr>
          <w:rFonts w:cs="Open Sans"/>
        </w:rPr>
        <w:t xml:space="preserve"> eller en nærtstående.</w:t>
      </w:r>
      <w:r>
        <w:rPr>
          <w:rFonts w:cs="Open Sans"/>
        </w:rPr>
        <w:t xml:space="preserve"> Ca. </w:t>
      </w:r>
      <w:r w:rsidRPr="00DB1A19">
        <w:rPr>
          <w:rFonts w:cs="Open Sans"/>
        </w:rPr>
        <w:t xml:space="preserve">halvdelen </w:t>
      </w:r>
      <w:r>
        <w:rPr>
          <w:rFonts w:cs="Open Sans"/>
        </w:rPr>
        <w:t xml:space="preserve">oplever </w:t>
      </w:r>
      <w:r w:rsidRPr="00DB1A19">
        <w:rPr>
          <w:rFonts w:cs="Open Sans"/>
        </w:rPr>
        <w:t xml:space="preserve">i mindre grad eller slet ikke at have indflydelse på den hjælp, de får. </w:t>
      </w:r>
      <w:r>
        <w:rPr>
          <w:rFonts w:cs="Open Sans"/>
        </w:rPr>
        <w:t>L</w:t>
      </w:r>
      <w:r w:rsidRPr="00DB1A19">
        <w:rPr>
          <w:rFonts w:cs="Open Sans"/>
        </w:rPr>
        <w:t>idt over hver tredje oplever ikke at få den hjælp, som de har behov for</w:t>
      </w:r>
      <w:r w:rsidRPr="00DB1A19">
        <w:rPr>
          <w:rStyle w:val="Fodnotehenvisning"/>
          <w:rFonts w:cs="Open Sans"/>
        </w:rPr>
        <w:footnoteReference w:id="2"/>
      </w:r>
      <w:r w:rsidRPr="00DB1A19">
        <w:rPr>
          <w:rFonts w:cs="Open Sans"/>
        </w:rPr>
        <w:t>, ligesom de i mindre grad oplever, at der benyttes relevant ekspertviden i deres sag</w:t>
      </w:r>
      <w:r>
        <w:rPr>
          <w:rFonts w:cs="Open Sans"/>
        </w:rPr>
        <w:t>.</w:t>
      </w:r>
      <w:r w:rsidRPr="00DA1131">
        <w:rPr>
          <w:rFonts w:cs="Open Sans"/>
        </w:rPr>
        <w:t xml:space="preserve"> </w:t>
      </w:r>
      <w:r>
        <w:rPr>
          <w:rFonts w:cs="Open Sans"/>
        </w:rPr>
        <w:t>Og knap hver femte</w:t>
      </w:r>
      <w:r w:rsidRPr="00DB1A19">
        <w:rPr>
          <w:rFonts w:cs="Open Sans"/>
        </w:rPr>
        <w:t xml:space="preserve"> har anket mindst én afgørelse truffet af kommunen over de seneste tre år</w:t>
      </w:r>
      <w:r>
        <w:rPr>
          <w:rFonts w:cs="Open Sans"/>
        </w:rPr>
        <w:t>.</w:t>
      </w:r>
      <w:r w:rsidRPr="00DB1A19">
        <w:rPr>
          <w:rStyle w:val="Fodnotehenvisning"/>
          <w:rFonts w:cs="Open Sans"/>
        </w:rPr>
        <w:footnoteReference w:id="3"/>
      </w:r>
      <w:r>
        <w:rPr>
          <w:rFonts w:cs="Open Sans"/>
        </w:rPr>
        <w:t xml:space="preserve"> </w:t>
      </w:r>
      <w:r>
        <w:t>T</w:t>
      </w:r>
      <w:r w:rsidRPr="00DB1A19">
        <w:t>al fra Ankestyrelsen</w:t>
      </w:r>
      <w:r>
        <w:t xml:space="preserve"> viser desuden</w:t>
      </w:r>
      <w:r w:rsidRPr="00DB1A19">
        <w:t>, at mellem hver tredje og anden påklagede sag på henholdsvis voksen- og børneområdet hjemsendes til kommunen på baggrund af et utilstrækkeligt oplysningsgrundlag</w:t>
      </w:r>
      <w:r w:rsidRPr="00DB1A19">
        <w:rPr>
          <w:rStyle w:val="Fodnotehenvisning"/>
          <w:rFonts w:cs="Open Sans"/>
        </w:rPr>
        <w:footnoteReference w:id="4"/>
      </w:r>
      <w:r w:rsidRPr="00DB1A19">
        <w:t>.</w:t>
      </w:r>
      <w:r>
        <w:t xml:space="preserve"> Rigsrevisionens beretning om forvaltningen af handicapområdet rejser kritik af, at kommunerne i mange tilfælde ikke har overholdt gældende regler og love på området.</w:t>
      </w:r>
      <w:r>
        <w:rPr>
          <w:rStyle w:val="Fodnotehenvisning"/>
        </w:rPr>
        <w:footnoteReference w:id="5"/>
      </w:r>
    </w:p>
    <w:p w14:paraId="31FB8062" w14:textId="77777777" w:rsidR="009079D5" w:rsidRPr="00DA1131" w:rsidRDefault="009079D5" w:rsidP="009079D5">
      <w:pPr>
        <w:rPr>
          <w:rFonts w:asciiTheme="minorHAnsi" w:hAnsiTheme="minorHAnsi" w:cstheme="minorHAnsi"/>
        </w:rPr>
      </w:pPr>
      <w:r>
        <w:lastRenderedPageBreak/>
        <w:t xml:space="preserve">Både borgere, sagsbehandlere og lokalpolitikere oplever, at økonomi ofte trumfer faglighed i visitationen. En </w:t>
      </w:r>
      <w:r w:rsidRPr="00DB1A19">
        <w:t>DH-undersøgelse</w:t>
      </w:r>
      <w:r>
        <w:t xml:space="preserve"> fra 2020 viser</w:t>
      </w:r>
      <w:r w:rsidRPr="00DB1A19">
        <w:t xml:space="preserve">, at 44 % </w:t>
      </w:r>
      <w:r>
        <w:t xml:space="preserve">af borgerne og de pårørende </w:t>
      </w:r>
      <w:r w:rsidRPr="00DB1A19">
        <w:t xml:space="preserve">oplever, at </w:t>
      </w:r>
      <w:r w:rsidRPr="00C95DDA">
        <w:rPr>
          <w:rFonts w:asciiTheme="minorHAnsi" w:hAnsiTheme="minorHAnsi" w:cstheme="minorHAnsi"/>
        </w:rPr>
        <w:t xml:space="preserve">kommunen vægter økonomi over faglighed, når støtten udmåles. </w:t>
      </w:r>
      <w:r>
        <w:rPr>
          <w:rFonts w:asciiTheme="minorHAnsi" w:hAnsiTheme="minorHAnsi" w:cstheme="minorHAnsi"/>
        </w:rPr>
        <w:t>I en survey fra Altinget</w:t>
      </w:r>
      <w:r w:rsidRPr="00C95DDA">
        <w:rPr>
          <w:rFonts w:asciiTheme="minorHAnsi" w:hAnsiTheme="minorHAnsi" w:cstheme="minorHAnsi"/>
        </w:rPr>
        <w:t xml:space="preserve">, </w:t>
      </w:r>
      <w:r>
        <w:rPr>
          <w:rFonts w:asciiTheme="minorHAnsi" w:hAnsiTheme="minorHAnsi" w:cstheme="minorHAnsi"/>
        </w:rPr>
        <w:t xml:space="preserve">svarer </w:t>
      </w:r>
      <w:r>
        <w:rPr>
          <w:rFonts w:asciiTheme="minorHAnsi" w:hAnsiTheme="minorHAnsi" w:cstheme="minorHAnsi"/>
          <w:color w:val="282828"/>
          <w:shd w:val="clear" w:color="auto" w:fill="FFFFFF"/>
        </w:rPr>
        <w:t>64,3</w:t>
      </w:r>
      <w:r w:rsidRPr="00C95DDA">
        <w:rPr>
          <w:rFonts w:asciiTheme="minorHAnsi" w:hAnsiTheme="minorHAnsi" w:cstheme="minorHAnsi"/>
          <w:color w:val="282828"/>
          <w:shd w:val="clear" w:color="auto" w:fill="FFFFFF"/>
        </w:rPr>
        <w:t xml:space="preserve"> % af byrådsmedlemmerne, at de oplever, at økonomiske hensyn jævnligt vægter højere end hensynet til borgernes behov</w:t>
      </w:r>
      <w:r>
        <w:rPr>
          <w:rFonts w:asciiTheme="minorHAnsi" w:hAnsiTheme="minorHAnsi" w:cstheme="minorHAnsi"/>
          <w:color w:val="282828"/>
          <w:shd w:val="clear" w:color="auto" w:fill="FFFFFF"/>
        </w:rPr>
        <w:t xml:space="preserve"> på </w:t>
      </w:r>
      <w:r w:rsidRPr="00DA1131">
        <w:rPr>
          <w:rFonts w:asciiTheme="minorHAnsi" w:hAnsiTheme="minorHAnsi" w:cstheme="minorHAnsi"/>
          <w:color w:val="282828"/>
          <w:shd w:val="clear" w:color="auto" w:fill="FFFFFF"/>
        </w:rPr>
        <w:t>handicapområdet.</w:t>
      </w:r>
      <w:r w:rsidRPr="00DA1131">
        <w:rPr>
          <w:rStyle w:val="Fodnotehenvisning"/>
          <w:rFonts w:asciiTheme="minorHAnsi" w:hAnsiTheme="minorHAnsi" w:cstheme="minorHAnsi"/>
          <w:color w:val="282828"/>
          <w:shd w:val="clear" w:color="auto" w:fill="FFFFFF"/>
        </w:rPr>
        <w:footnoteReference w:id="6"/>
      </w:r>
      <w:r w:rsidRPr="00DA1131">
        <w:rPr>
          <w:rFonts w:asciiTheme="minorHAnsi" w:hAnsiTheme="minorHAnsi" w:cstheme="minorHAnsi"/>
          <w:color w:val="282828"/>
          <w:shd w:val="clear" w:color="auto" w:fill="FFFFFF"/>
        </w:rPr>
        <w:t xml:space="preserve"> </w:t>
      </w:r>
      <w:r>
        <w:rPr>
          <w:rFonts w:asciiTheme="minorHAnsi" w:hAnsiTheme="minorHAnsi" w:cstheme="minorHAnsi"/>
          <w:color w:val="282828"/>
          <w:shd w:val="clear" w:color="auto" w:fill="FFFFFF"/>
        </w:rPr>
        <w:t xml:space="preserve">Og </w:t>
      </w:r>
      <w:r w:rsidRPr="00DA1131">
        <w:rPr>
          <w:rFonts w:asciiTheme="minorHAnsi" w:hAnsiTheme="minorHAnsi" w:cstheme="minorHAnsi"/>
          <w:color w:val="282828"/>
          <w:shd w:val="clear" w:color="auto" w:fill="FFFFFF"/>
        </w:rPr>
        <w:t>s</w:t>
      </w:r>
      <w:r w:rsidRPr="00DA1131">
        <w:rPr>
          <w:rFonts w:asciiTheme="minorHAnsi" w:hAnsiTheme="minorHAnsi" w:cstheme="minorHAnsi"/>
          <w:color w:val="414042"/>
        </w:rPr>
        <w:t>yv ud af ti sagsbehandlere</w:t>
      </w:r>
      <w:r>
        <w:rPr>
          <w:rFonts w:asciiTheme="minorHAnsi" w:hAnsiTheme="minorHAnsi" w:cstheme="minorHAnsi"/>
          <w:color w:val="414042"/>
        </w:rPr>
        <w:t xml:space="preserve"> svarer</w:t>
      </w:r>
      <w:r w:rsidRPr="00DA1131">
        <w:rPr>
          <w:rFonts w:asciiTheme="minorHAnsi" w:hAnsiTheme="minorHAnsi" w:cstheme="minorHAnsi"/>
          <w:color w:val="414042"/>
        </w:rPr>
        <w:t xml:space="preserve"> i en survey gennemført af Dansk Socialrådgiverforening, at økonomiske hensyn altid, ofte eller indimellem står i vejen for at iværksætte den fagligt korrekte foranstaltning.</w:t>
      </w:r>
      <w:r>
        <w:rPr>
          <w:rStyle w:val="Fodnotehenvisning"/>
          <w:rFonts w:asciiTheme="minorHAnsi" w:hAnsiTheme="minorHAnsi" w:cstheme="minorHAnsi"/>
          <w:color w:val="414042"/>
        </w:rPr>
        <w:footnoteReference w:id="7"/>
      </w:r>
      <w:r>
        <w:rPr>
          <w:rFonts w:ascii="Open Sans" w:hAnsi="Open Sans" w:cs="Open Sans"/>
          <w:color w:val="414042"/>
        </w:rPr>
        <w:t xml:space="preserve"> </w:t>
      </w:r>
      <w:r>
        <w:t>4</w:t>
      </w:r>
      <w:r w:rsidRPr="00DB1A19">
        <w:t xml:space="preserve">0 % </w:t>
      </w:r>
      <w:r>
        <w:t>svarer i DH panelet</w:t>
      </w:r>
      <w:r w:rsidRPr="00DB1A19">
        <w:t>, at den hjælp</w:t>
      </w:r>
      <w:r>
        <w:t>,</w:t>
      </w:r>
      <w:r w:rsidRPr="00DB1A19">
        <w:t xml:space="preserve"> de modtager </w:t>
      </w:r>
      <w:r>
        <w:t xml:space="preserve">på socialområdet, </w:t>
      </w:r>
      <w:r w:rsidRPr="00DB1A19">
        <w:t>er blevet dårligere gennem de sidste fem år</w:t>
      </w:r>
      <w:r w:rsidRPr="00DB1A19">
        <w:rPr>
          <w:rStyle w:val="Fodnotehenvisning"/>
          <w:rFonts w:cs="Open Sans"/>
        </w:rPr>
        <w:footnoteReference w:id="8"/>
      </w:r>
      <w:r w:rsidRPr="00DB1A19">
        <w:t>.</w:t>
      </w:r>
    </w:p>
    <w:p w14:paraId="1878F3A4" w14:textId="77777777" w:rsidR="009079D5" w:rsidRDefault="009079D5" w:rsidP="009079D5"/>
    <w:p w14:paraId="73278B5B" w14:textId="77777777" w:rsidR="009079D5" w:rsidRPr="00A44EE4" w:rsidRDefault="009079D5" w:rsidP="009079D5">
      <w:pPr>
        <w:rPr>
          <w:rStyle w:val="Underoverskrift"/>
        </w:rPr>
      </w:pPr>
      <w:bookmarkStart w:id="12" w:name="_Toc90291129"/>
      <w:bookmarkStart w:id="13" w:name="_Toc90291245"/>
      <w:r>
        <w:rPr>
          <w:rStyle w:val="Underoverskrift"/>
        </w:rPr>
        <w:t>Større faglighed og enkel lovgivning</w:t>
      </w:r>
    </w:p>
    <w:bookmarkEnd w:id="12"/>
    <w:bookmarkEnd w:id="13"/>
    <w:p w14:paraId="4F1A056A" w14:textId="77777777" w:rsidR="009079D5" w:rsidRDefault="009079D5" w:rsidP="009079D5">
      <w:pPr>
        <w:spacing w:after="240"/>
        <w:rPr>
          <w:rFonts w:cs="Open Sans"/>
        </w:rPr>
      </w:pPr>
      <w:r w:rsidRPr="002D1FB4">
        <w:rPr>
          <w:rFonts w:cs="Open Sans"/>
        </w:rPr>
        <w:t xml:space="preserve">DH har arbejdet for at styrke retssikkerheden på socialområdet i adskillige år. Det har ført til </w:t>
      </w:r>
      <w:r>
        <w:rPr>
          <w:rFonts w:cs="Open Sans"/>
        </w:rPr>
        <w:t>visse</w:t>
      </w:r>
      <w:r w:rsidRPr="002D1FB4">
        <w:rPr>
          <w:rFonts w:cs="Open Sans"/>
        </w:rPr>
        <w:t xml:space="preserve"> politiske tiltag</w:t>
      </w:r>
      <w:r>
        <w:rPr>
          <w:rFonts w:cs="Open Sans"/>
        </w:rPr>
        <w:t>, men det har endnu ikke haft en afgørende effekt på det samlede socialområde. DH arbejder derfor primært for at styrke retssikkerheden ved at få faglige skøn til at fylde mere og ved at få mere præcise og enkle rettigheder for borgerne. Målet er, at borgeren skal have den rigtige hjælp første gang.</w:t>
      </w:r>
    </w:p>
    <w:p w14:paraId="344E87F4" w14:textId="77777777" w:rsidR="009079D5" w:rsidRPr="00DC0321" w:rsidRDefault="009079D5" w:rsidP="009079D5">
      <w:pPr>
        <w:spacing w:after="240"/>
        <w:rPr>
          <w:rFonts w:asciiTheme="minorHAnsi" w:hAnsiTheme="minorHAnsi" w:cstheme="minorHAnsi"/>
        </w:rPr>
      </w:pPr>
      <w:r>
        <w:rPr>
          <w:rFonts w:asciiTheme="minorHAnsi" w:hAnsiTheme="minorHAnsi" w:cstheme="minorHAnsi"/>
        </w:rPr>
        <w:t xml:space="preserve">En større vægt på det faglige skøn skal bl.a. gennemføres via en </w:t>
      </w:r>
      <w:r w:rsidRPr="0036337A">
        <w:rPr>
          <w:rFonts w:asciiTheme="minorHAnsi" w:hAnsiTheme="minorHAnsi" w:cstheme="minorHAnsi"/>
        </w:rPr>
        <w:t>specialeplanlægning på det specialiserede socialområde inspireret af sundhedsområdet</w:t>
      </w:r>
      <w:r>
        <w:rPr>
          <w:rFonts w:asciiTheme="minorHAnsi" w:hAnsiTheme="minorHAnsi" w:cstheme="minorHAnsi"/>
        </w:rPr>
        <w:t xml:space="preserve">. Det er væsentligt for DH, at specialeplanen indeholder </w:t>
      </w:r>
      <w:r w:rsidRPr="0036337A">
        <w:rPr>
          <w:rFonts w:asciiTheme="minorHAnsi" w:hAnsiTheme="minorHAnsi" w:cstheme="minorHAnsi"/>
        </w:rPr>
        <w:t>en reform af visitationen og finansiering</w:t>
      </w:r>
      <w:r>
        <w:rPr>
          <w:rFonts w:asciiTheme="minorHAnsi" w:hAnsiTheme="minorHAnsi" w:cstheme="minorHAnsi"/>
        </w:rPr>
        <w:t>. DH’s forslag til en specialplan er beskrevet i et særskilt notat.</w:t>
      </w:r>
    </w:p>
    <w:p w14:paraId="43C26A51" w14:textId="77777777" w:rsidR="009079D5" w:rsidRDefault="009079D5" w:rsidP="009079D5">
      <w:pPr>
        <w:rPr>
          <w:rFonts w:cs="Open Sans"/>
        </w:rPr>
      </w:pPr>
      <w:r>
        <w:rPr>
          <w:rFonts w:asciiTheme="minorHAnsi" w:hAnsiTheme="minorHAnsi" w:cstheme="minorHAnsi"/>
        </w:rPr>
        <w:t xml:space="preserve">Retssikkerheden skal desuden forbedres ved lovændringer, der sikrer </w:t>
      </w:r>
      <w:r w:rsidRPr="00DC0321">
        <w:rPr>
          <w:rFonts w:asciiTheme="minorHAnsi" w:hAnsiTheme="minorHAnsi" w:cstheme="minorHAnsi"/>
        </w:rPr>
        <w:t xml:space="preserve">præcise og enkle rettigheder </w:t>
      </w:r>
      <w:r>
        <w:rPr>
          <w:rFonts w:asciiTheme="minorHAnsi" w:hAnsiTheme="minorHAnsi" w:cstheme="minorHAnsi"/>
        </w:rPr>
        <w:t xml:space="preserve">for borgeren på </w:t>
      </w:r>
      <w:r w:rsidRPr="00DC0321">
        <w:rPr>
          <w:rFonts w:asciiTheme="minorHAnsi" w:hAnsiTheme="minorHAnsi" w:cstheme="minorHAnsi"/>
        </w:rPr>
        <w:t>udvalgte paragraffer i serviceloven.</w:t>
      </w:r>
      <w:r>
        <w:rPr>
          <w:rFonts w:asciiTheme="minorHAnsi" w:hAnsiTheme="minorHAnsi" w:cstheme="minorHAnsi"/>
        </w:rPr>
        <w:t xml:space="preserve"> </w:t>
      </w:r>
      <w:r>
        <w:rPr>
          <w:rFonts w:cs="Open Sans"/>
        </w:rPr>
        <w:t xml:space="preserve">Udgangspunktet er de lovområder, hvor der er de største problemer fx i form af flest klagesager med de højeste omgørelsesprocenter. Det gælder fx merudgifter, tabt arbejdsfortjeneste, hjælpemidler og BPA. </w:t>
      </w:r>
      <w:r w:rsidRPr="00B57980">
        <w:rPr>
          <w:rFonts w:cs="Open Sans"/>
        </w:rPr>
        <w:t>Udgangspunktet er også</w:t>
      </w:r>
      <w:r w:rsidRPr="00B57980">
        <w:t xml:space="preserve"> retssikkerhedsproblemer, som udspringer af, at nogle grupper har meget svært ved at klage. </w:t>
      </w:r>
      <w:r>
        <w:rPr>
          <w:rFonts w:cs="Open Sans"/>
        </w:rPr>
        <w:t>Præcise og enkle rettigheder vil bidrage væsentligt til, at retssikkerheden styrkes i første instans, og borgeren derved får den ydelse, der er behov for ved første afgørelse.</w:t>
      </w:r>
    </w:p>
    <w:p w14:paraId="147574A1" w14:textId="77777777" w:rsidR="009079D5" w:rsidRDefault="009079D5" w:rsidP="009079D5">
      <w:pPr>
        <w:rPr>
          <w:rFonts w:ascii="Open Sans" w:eastAsiaTheme="majorEastAsia" w:hAnsi="Open Sans" w:cstheme="majorBidi"/>
          <w:b/>
          <w:bCs/>
          <w:sz w:val="24"/>
          <w:szCs w:val="26"/>
        </w:rPr>
      </w:pPr>
    </w:p>
    <w:p w14:paraId="7907F7BC" w14:textId="77777777" w:rsidR="009079D5" w:rsidRDefault="009079D5" w:rsidP="009079D5">
      <w:pPr>
        <w:rPr>
          <w:rFonts w:ascii="Open Sans" w:eastAsiaTheme="majorEastAsia" w:hAnsi="Open Sans" w:cstheme="majorBidi"/>
          <w:b/>
          <w:bCs/>
          <w:sz w:val="24"/>
          <w:szCs w:val="26"/>
        </w:rPr>
      </w:pPr>
    </w:p>
    <w:p w14:paraId="41B7F0CA" w14:textId="77777777" w:rsidR="009079D5" w:rsidRDefault="009079D5" w:rsidP="009079D5">
      <w:pPr>
        <w:rPr>
          <w:rFonts w:ascii="Open Sans" w:eastAsiaTheme="majorEastAsia" w:hAnsi="Open Sans" w:cstheme="majorBidi"/>
          <w:b/>
          <w:bCs/>
          <w:sz w:val="24"/>
          <w:szCs w:val="26"/>
        </w:rPr>
      </w:pPr>
    </w:p>
    <w:p w14:paraId="489D5B36" w14:textId="77777777" w:rsidR="009079D5" w:rsidRDefault="009079D5" w:rsidP="009079D5">
      <w:pPr>
        <w:rPr>
          <w:rFonts w:ascii="Open Sans" w:eastAsiaTheme="majorEastAsia" w:hAnsi="Open Sans" w:cstheme="majorBidi"/>
          <w:b/>
          <w:bCs/>
          <w:sz w:val="24"/>
          <w:szCs w:val="26"/>
        </w:rPr>
      </w:pPr>
    </w:p>
    <w:p w14:paraId="57C0FAB0" w14:textId="77777777" w:rsidR="009079D5" w:rsidRDefault="009079D5" w:rsidP="009079D5">
      <w:pPr>
        <w:rPr>
          <w:rFonts w:ascii="Open Sans" w:eastAsiaTheme="majorEastAsia" w:hAnsi="Open Sans" w:cstheme="majorBidi"/>
          <w:b/>
          <w:bCs/>
          <w:sz w:val="24"/>
          <w:szCs w:val="26"/>
        </w:rPr>
      </w:pPr>
    </w:p>
    <w:p w14:paraId="215E0423" w14:textId="77777777" w:rsidR="009079D5" w:rsidRDefault="009079D5" w:rsidP="009079D5">
      <w:pPr>
        <w:rPr>
          <w:rFonts w:ascii="Open Sans" w:eastAsiaTheme="majorEastAsia" w:hAnsi="Open Sans" w:cstheme="majorBidi"/>
          <w:b/>
          <w:bCs/>
          <w:sz w:val="24"/>
          <w:szCs w:val="26"/>
        </w:rPr>
      </w:pPr>
    </w:p>
    <w:p w14:paraId="2ED17028" w14:textId="52567E47" w:rsidR="009079D5" w:rsidRDefault="009079D5" w:rsidP="009079D5">
      <w:pPr>
        <w:rPr>
          <w:rFonts w:ascii="Open Sans" w:eastAsiaTheme="majorEastAsia" w:hAnsi="Open Sans" w:cstheme="majorBidi"/>
          <w:b/>
          <w:bCs/>
          <w:sz w:val="24"/>
          <w:szCs w:val="26"/>
        </w:rPr>
      </w:pPr>
    </w:p>
    <w:p w14:paraId="5B3745E1" w14:textId="77777777" w:rsidR="00110B52" w:rsidRDefault="00110B52" w:rsidP="009079D5">
      <w:pPr>
        <w:rPr>
          <w:rFonts w:ascii="Open Sans" w:eastAsiaTheme="majorEastAsia" w:hAnsi="Open Sans" w:cstheme="majorBidi"/>
          <w:b/>
          <w:bCs/>
          <w:sz w:val="24"/>
          <w:szCs w:val="26"/>
        </w:rPr>
      </w:pPr>
    </w:p>
    <w:p w14:paraId="33C88646" w14:textId="77777777" w:rsidR="009079D5" w:rsidRDefault="009079D5" w:rsidP="009079D5">
      <w:pPr>
        <w:rPr>
          <w:rFonts w:ascii="Open Sans" w:eastAsiaTheme="majorEastAsia" w:hAnsi="Open Sans" w:cstheme="majorBidi"/>
          <w:b/>
          <w:bCs/>
          <w:sz w:val="24"/>
          <w:szCs w:val="26"/>
        </w:rPr>
      </w:pPr>
    </w:p>
    <w:p w14:paraId="2ED3F9CE" w14:textId="77777777" w:rsidR="009079D5" w:rsidRDefault="009079D5" w:rsidP="009079D5">
      <w:pPr>
        <w:rPr>
          <w:rFonts w:ascii="Open Sans" w:eastAsiaTheme="majorEastAsia" w:hAnsi="Open Sans" w:cstheme="majorBidi"/>
          <w:b/>
          <w:bCs/>
          <w:sz w:val="24"/>
          <w:szCs w:val="26"/>
        </w:rPr>
      </w:pPr>
    </w:p>
    <w:p w14:paraId="15232D87" w14:textId="77777777" w:rsidR="009079D5" w:rsidRDefault="009079D5" w:rsidP="009079D5">
      <w:pPr>
        <w:rPr>
          <w:rFonts w:ascii="Open Sans" w:eastAsiaTheme="majorEastAsia" w:hAnsi="Open Sans" w:cstheme="majorBidi"/>
          <w:b/>
          <w:bCs/>
          <w:sz w:val="24"/>
          <w:szCs w:val="26"/>
        </w:rPr>
      </w:pPr>
    </w:p>
    <w:p w14:paraId="019657C8" w14:textId="77777777" w:rsidR="009079D5" w:rsidRDefault="009079D5" w:rsidP="009079D5">
      <w:pPr>
        <w:rPr>
          <w:rFonts w:ascii="Open Sans" w:eastAsiaTheme="majorEastAsia" w:hAnsi="Open Sans" w:cstheme="majorBidi"/>
          <w:b/>
          <w:bCs/>
          <w:sz w:val="24"/>
          <w:szCs w:val="26"/>
        </w:rPr>
      </w:pPr>
    </w:p>
    <w:p w14:paraId="7FB24EEC" w14:textId="77777777" w:rsidR="009079D5" w:rsidRDefault="009079D5" w:rsidP="009079D5">
      <w:pPr>
        <w:rPr>
          <w:rFonts w:ascii="Open Sans" w:eastAsiaTheme="majorEastAsia" w:hAnsi="Open Sans" w:cstheme="majorBidi"/>
          <w:b/>
          <w:bCs/>
          <w:sz w:val="24"/>
          <w:szCs w:val="26"/>
        </w:rPr>
      </w:pPr>
    </w:p>
    <w:p w14:paraId="768AA792" w14:textId="77777777" w:rsidR="009079D5" w:rsidRPr="00F57C24" w:rsidRDefault="009079D5" w:rsidP="009079D5">
      <w:pPr>
        <w:pStyle w:val="Overskrift2"/>
      </w:pPr>
      <w:bookmarkStart w:id="14" w:name="_Toc90284226"/>
      <w:bookmarkStart w:id="15" w:name="_Toc90291130"/>
      <w:bookmarkStart w:id="16" w:name="_Toc90291246"/>
      <w:bookmarkStart w:id="17" w:name="_Toc102388666"/>
      <w:r w:rsidRPr="00F57C24">
        <w:lastRenderedPageBreak/>
        <w:t>Kvalificering af udredning, sagsbehandling og visitation</w:t>
      </w:r>
      <w:bookmarkEnd w:id="14"/>
      <w:bookmarkEnd w:id="15"/>
      <w:bookmarkEnd w:id="16"/>
      <w:bookmarkEnd w:id="17"/>
      <w:r w:rsidRPr="00F57C24">
        <w:t xml:space="preserve"> </w:t>
      </w:r>
    </w:p>
    <w:p w14:paraId="404B90BD" w14:textId="568168B2" w:rsidR="009079D5" w:rsidRPr="00A44EE4" w:rsidRDefault="009079D5" w:rsidP="009079D5">
      <w:pPr>
        <w:pStyle w:val="Overskrift3"/>
        <w:rPr>
          <w:rStyle w:val="Underoverskrift"/>
          <w:b w:val="0"/>
        </w:rPr>
      </w:pPr>
      <w:bookmarkStart w:id="18" w:name="_Toc90284227"/>
      <w:bookmarkStart w:id="19" w:name="_Toc90291131"/>
      <w:bookmarkStart w:id="20" w:name="_Toc90291247"/>
      <w:bookmarkStart w:id="21" w:name="_Toc102388667"/>
      <w:r w:rsidRPr="00A44EE4">
        <w:rPr>
          <w:rStyle w:val="Underoverskrift"/>
          <w:b w:val="0"/>
        </w:rPr>
        <w:t xml:space="preserve">1. </w:t>
      </w:r>
      <w:r>
        <w:rPr>
          <w:rStyle w:val="Underoverskrift"/>
          <w:b w:val="0"/>
        </w:rPr>
        <w:t xml:space="preserve">Faglig </w:t>
      </w:r>
      <w:r w:rsidR="0070591B">
        <w:rPr>
          <w:rStyle w:val="Underoverskrift"/>
          <w:b w:val="0"/>
        </w:rPr>
        <w:t>undersøgelse</w:t>
      </w:r>
      <w:r>
        <w:rPr>
          <w:rStyle w:val="Underoverskrift"/>
          <w:b w:val="0"/>
        </w:rPr>
        <w:t xml:space="preserve"> skal ligge til grund for afgørelser</w:t>
      </w:r>
      <w:bookmarkEnd w:id="18"/>
      <w:bookmarkEnd w:id="19"/>
      <w:bookmarkEnd w:id="20"/>
      <w:bookmarkEnd w:id="21"/>
    </w:p>
    <w:p w14:paraId="2DFC7083" w14:textId="49BF1461" w:rsidR="009079D5" w:rsidRDefault="009079D5" w:rsidP="00110B52">
      <w:pPr>
        <w:pStyle w:val="Opstilling-punkttegn"/>
        <w:numPr>
          <w:ilvl w:val="0"/>
          <w:numId w:val="0"/>
        </w:numPr>
        <w:spacing w:after="240" w:line="240" w:lineRule="auto"/>
      </w:pPr>
      <w:r>
        <w:t>Visitationen skal altid tage udgangspu</w:t>
      </w:r>
      <w:r w:rsidR="0070591B">
        <w:t>nkt i borgerens behov og faglig</w:t>
      </w:r>
      <w:r>
        <w:t xml:space="preserve"> </w:t>
      </w:r>
      <w:r w:rsidR="0070591B">
        <w:t>undersøgelse</w:t>
      </w:r>
      <w:r>
        <w:t xml:space="preserve"> frem for økonomiske hensyn. Alt for ofte trumfer de økonomiske hensyn borgerens behov.</w:t>
      </w:r>
    </w:p>
    <w:p w14:paraId="487520DD" w14:textId="77777777" w:rsidR="009079D5" w:rsidRPr="005035CA" w:rsidRDefault="009079D5" w:rsidP="009079D5">
      <w:pPr>
        <w:spacing w:after="240"/>
      </w:pPr>
      <w:r w:rsidRPr="005035CA">
        <w:rPr>
          <w:b/>
        </w:rPr>
        <w:t>DH foreslår, at</w:t>
      </w:r>
      <w:r w:rsidRPr="005035CA">
        <w:t xml:space="preserve">: </w:t>
      </w:r>
    </w:p>
    <w:p w14:paraId="507A9EDE" w14:textId="23FB7A2C" w:rsidR="009079D5" w:rsidRDefault="0070591B" w:rsidP="009079D5">
      <w:pPr>
        <w:pStyle w:val="Opstilling-punkttegn"/>
        <w:numPr>
          <w:ilvl w:val="0"/>
          <w:numId w:val="15"/>
        </w:numPr>
        <w:spacing w:after="240"/>
      </w:pPr>
      <w:r>
        <w:t>Den f</w:t>
      </w:r>
      <w:r w:rsidR="009079D5">
        <w:t xml:space="preserve">aglige </w:t>
      </w:r>
      <w:r>
        <w:t xml:space="preserve">undersøgelse skal </w:t>
      </w:r>
      <w:r w:rsidR="009079D5">
        <w:t>ligge til grund for den visiterende myndighedsafgørelse.</w:t>
      </w:r>
    </w:p>
    <w:p w14:paraId="0B2D89A9" w14:textId="77777777" w:rsidR="009079D5" w:rsidRPr="00A44EE4" w:rsidRDefault="009079D5" w:rsidP="009079D5">
      <w:pPr>
        <w:pStyle w:val="Overskrift3"/>
        <w:rPr>
          <w:rStyle w:val="Underoverskrift"/>
          <w:b w:val="0"/>
        </w:rPr>
      </w:pPr>
      <w:bookmarkStart w:id="22" w:name="_Toc102388668"/>
      <w:r>
        <w:rPr>
          <w:rStyle w:val="Underoverskrift"/>
          <w:b w:val="0"/>
        </w:rPr>
        <w:t>2</w:t>
      </w:r>
      <w:r w:rsidRPr="00A44EE4">
        <w:rPr>
          <w:rStyle w:val="Underoverskrift"/>
          <w:b w:val="0"/>
        </w:rPr>
        <w:t>.</w:t>
      </w:r>
      <w:r>
        <w:rPr>
          <w:rStyle w:val="Underoverskrift"/>
          <w:b w:val="0"/>
        </w:rPr>
        <w:t xml:space="preserve"> Indførelse af udredningsret</w:t>
      </w:r>
      <w:bookmarkEnd w:id="22"/>
    </w:p>
    <w:p w14:paraId="6D06D828" w14:textId="77777777" w:rsidR="009079D5" w:rsidRDefault="009079D5" w:rsidP="009079D5">
      <w:pPr>
        <w:spacing w:after="240"/>
      </w:pPr>
      <w:r w:rsidRPr="005035CA">
        <w:t xml:space="preserve">Der er behov for en udredningsret på </w:t>
      </w:r>
      <w:r>
        <w:t>både børne- og voksenområdet</w:t>
      </w:r>
      <w:r w:rsidRPr="005035CA">
        <w:t>, så det sikres</w:t>
      </w:r>
      <w:r>
        <w:t>,</w:t>
      </w:r>
      <w:r w:rsidRPr="005035CA">
        <w:t xml:space="preserve"> at borgeren får en tilstrækkelig </w:t>
      </w:r>
      <w:r>
        <w:t xml:space="preserve">faglig </w:t>
      </w:r>
      <w:r w:rsidRPr="005035CA">
        <w:t xml:space="preserve">udredning af sit behov. </w:t>
      </w:r>
      <w:r>
        <w:t>Ankestyrelsen</w:t>
      </w:r>
      <w:r w:rsidRPr="005035CA">
        <w:t xml:space="preserve"> hjemvise</w:t>
      </w:r>
      <w:r>
        <w:t>r m</w:t>
      </w:r>
      <w:r w:rsidRPr="005035CA">
        <w:t xml:space="preserve">ange </w:t>
      </w:r>
      <w:r>
        <w:t>klagesager</w:t>
      </w:r>
      <w:r w:rsidRPr="005035CA">
        <w:t>, fordi sagen ikke er tilstrækkeligt oplyst</w:t>
      </w:r>
      <w:r>
        <w:t>,</w:t>
      </w:r>
      <w:r w:rsidRPr="005035CA">
        <w:t xml:space="preserve"> og borgerens behov ikke er afdækket. En ri</w:t>
      </w:r>
      <w:r>
        <w:t>gtig afgørelse i første instans</w:t>
      </w:r>
      <w:r w:rsidRPr="005035CA">
        <w:t xml:space="preserve"> </w:t>
      </w:r>
      <w:r>
        <w:t>vil</w:t>
      </w:r>
      <w:r w:rsidRPr="005035CA">
        <w:t xml:space="preserve"> styrkes ved at indføre en ret til grundig </w:t>
      </w:r>
      <w:r>
        <w:t xml:space="preserve">ekstern </w:t>
      </w:r>
      <w:r w:rsidRPr="005035CA">
        <w:t>udredning.</w:t>
      </w:r>
    </w:p>
    <w:p w14:paraId="3A9F667A" w14:textId="77777777" w:rsidR="009079D5" w:rsidRDefault="009079D5" w:rsidP="009079D5">
      <w:pPr>
        <w:spacing w:after="240"/>
      </w:pPr>
      <w:r>
        <w:t>Det er i dag muligt, jf. forvaltningslovens § 21, at anmode om, at sagen bliver sat i bero ved afgivelse af supplerende indlæg. Denne mulighed bør udbygges med, at sagen kan sættes i bero, hvis borgeren ønsker at indhente en ekstern vurdering. Det betyder, at kommunen ikke kan træffe afgørelse, før borgeren har indhentet supplerende ekstern faglig viden.</w:t>
      </w:r>
    </w:p>
    <w:p w14:paraId="102B182F" w14:textId="77777777" w:rsidR="009079D5" w:rsidRDefault="009079D5" w:rsidP="009079D5">
      <w:pPr>
        <w:spacing w:after="240"/>
      </w:pPr>
      <w:r>
        <w:t>Udredningsretten er tæt knyttet til forslag 1.a. om at den faglige udredning skal ligge til grund for afgørelser.</w:t>
      </w:r>
    </w:p>
    <w:p w14:paraId="604B8FF3" w14:textId="77777777" w:rsidR="009079D5" w:rsidRPr="005035CA" w:rsidRDefault="009079D5" w:rsidP="009079D5">
      <w:pPr>
        <w:spacing w:after="240"/>
      </w:pPr>
      <w:r w:rsidRPr="005035CA">
        <w:rPr>
          <w:b/>
        </w:rPr>
        <w:t>DH foreslår, at</w:t>
      </w:r>
      <w:r w:rsidRPr="005035CA">
        <w:t xml:space="preserve">: </w:t>
      </w:r>
    </w:p>
    <w:p w14:paraId="4DDE450D" w14:textId="77777777" w:rsidR="009079D5" w:rsidRDefault="009079D5" w:rsidP="009079D5">
      <w:pPr>
        <w:pStyle w:val="Opstilling-punkttegn"/>
        <w:numPr>
          <w:ilvl w:val="0"/>
          <w:numId w:val="15"/>
        </w:numPr>
        <w:spacing w:after="240" w:line="240" w:lineRule="auto"/>
      </w:pPr>
      <w:r w:rsidRPr="005035CA">
        <w:t xml:space="preserve">Der indføres en udredningsret </w:t>
      </w:r>
      <w:r>
        <w:t>både på børne- og voksenområdet,</w:t>
      </w:r>
      <w:r w:rsidRPr="009A735F">
        <w:rPr>
          <w:rFonts w:asciiTheme="minorHAnsi" w:hAnsiTheme="minorHAnsi" w:cstheme="minorHAnsi"/>
        </w:rPr>
        <w:t xml:space="preserve"> hvis kommunen ikke har påbegyndt en udredning eller iværksat en målrettet indsats inden for det første ½ år.</w:t>
      </w:r>
      <w:r w:rsidRPr="005035CA">
        <w:t xml:space="preserve"> Der skal stilles krav om</w:t>
      </w:r>
      <w:r>
        <w:t>,</w:t>
      </w:r>
      <w:r w:rsidRPr="005035CA">
        <w:t xml:space="preserve"> at </w:t>
      </w:r>
      <w:r>
        <w:t>den visiterende myndighed</w:t>
      </w:r>
      <w:r w:rsidRPr="005035CA">
        <w:t xml:space="preserve"> indhenter relevant specialisere</w:t>
      </w:r>
      <w:r>
        <w:t>t</w:t>
      </w:r>
      <w:r w:rsidRPr="005035CA">
        <w:t xml:space="preserve"> viden og rådgivning i udredning</w:t>
      </w:r>
      <w:r>
        <w:t xml:space="preserve">en fra en fagperson fx i psykiatrien, speciallæger eller andre specialfunktioner. </w:t>
      </w:r>
      <w:r w:rsidRPr="005035CA">
        <w:t>Udredningsretten skal sikre en undersøgende og udredende sagsbehandling.</w:t>
      </w:r>
    </w:p>
    <w:p w14:paraId="630BF384" w14:textId="77777777" w:rsidR="009079D5" w:rsidRDefault="009079D5" w:rsidP="009079D5">
      <w:pPr>
        <w:pStyle w:val="Opstilling-punkttegn"/>
        <w:numPr>
          <w:ilvl w:val="0"/>
          <w:numId w:val="15"/>
        </w:numPr>
        <w:spacing w:after="240"/>
      </w:pPr>
      <w:r>
        <w:t xml:space="preserve">Borgeren kan efterspørge supplerende faglig ekspertise. Borgeren kan anmode den visiterende myndighed om at sætte sagen i bero, indtil der er indhentet en ekstern faglig vurdering som en del af udredningen. Det betyder, at borgeren får mulighed for at forelægge sin sag for en uvildig rådgivningsfunktion, inden afgørelsen træffes. Det kan fx dreje sig om DUKH, VISO eller en speciallæge. </w:t>
      </w:r>
    </w:p>
    <w:p w14:paraId="5C89E917" w14:textId="77777777" w:rsidR="009079D5" w:rsidRPr="00A44EE4" w:rsidRDefault="009079D5" w:rsidP="009079D5">
      <w:pPr>
        <w:pStyle w:val="Overskrift3"/>
        <w:rPr>
          <w:rStyle w:val="Underoverskrift"/>
          <w:b w:val="0"/>
        </w:rPr>
      </w:pPr>
      <w:bookmarkStart w:id="23" w:name="_Toc18407353"/>
      <w:bookmarkStart w:id="24" w:name="_Toc90284228"/>
      <w:bookmarkStart w:id="25" w:name="_Toc90291132"/>
      <w:bookmarkStart w:id="26" w:name="_Toc90291248"/>
      <w:bookmarkStart w:id="27" w:name="_Toc102388669"/>
      <w:r>
        <w:rPr>
          <w:rStyle w:val="Underoverskrift"/>
          <w:b w:val="0"/>
        </w:rPr>
        <w:t>3</w:t>
      </w:r>
      <w:r w:rsidRPr="00A44EE4">
        <w:rPr>
          <w:rStyle w:val="Underoverskrift"/>
          <w:b w:val="0"/>
        </w:rPr>
        <w:t>. Ingen indsatser uden inddragelse</w:t>
      </w:r>
      <w:bookmarkEnd w:id="23"/>
      <w:bookmarkEnd w:id="24"/>
      <w:bookmarkEnd w:id="25"/>
      <w:bookmarkEnd w:id="26"/>
      <w:bookmarkEnd w:id="27"/>
    </w:p>
    <w:p w14:paraId="31C004E7" w14:textId="77777777" w:rsidR="009079D5" w:rsidRPr="007D3D9C" w:rsidRDefault="009079D5" w:rsidP="009079D5">
      <w:pPr>
        <w:spacing w:after="240"/>
        <w:rPr>
          <w:rFonts w:asciiTheme="minorHAnsi" w:hAnsiTheme="minorHAnsi" w:cstheme="minorHAnsi"/>
        </w:rPr>
      </w:pPr>
      <w:r w:rsidRPr="007D3D9C">
        <w:rPr>
          <w:rFonts w:asciiTheme="minorHAnsi" w:hAnsiTheme="minorHAnsi" w:cstheme="minorHAnsi"/>
        </w:rPr>
        <w:t>Samarbejdet mellem borger og myndighed er ofte præget af mistillid og forskellige oplevelser af dialogens kvalitet.</w:t>
      </w:r>
      <w:r>
        <w:rPr>
          <w:rFonts w:asciiTheme="minorHAnsi" w:hAnsiTheme="minorHAnsi" w:cstheme="minorHAnsi"/>
        </w:rPr>
        <w:t xml:space="preserve"> Det viser VIVE’s GAP analyse udført for Det Centrale Handicapråd i 2015 og gentaget i 2021.</w:t>
      </w:r>
    </w:p>
    <w:p w14:paraId="2E88DAD3" w14:textId="77777777" w:rsidR="009079D5" w:rsidRPr="005035CA" w:rsidRDefault="009079D5" w:rsidP="009079D5">
      <w:pPr>
        <w:spacing w:after="240"/>
        <w:rPr>
          <w:b/>
        </w:rPr>
      </w:pPr>
      <w:r w:rsidRPr="005035CA">
        <w:rPr>
          <w:b/>
        </w:rPr>
        <w:t>DH foreslår, at:</w:t>
      </w:r>
    </w:p>
    <w:p w14:paraId="533FA060" w14:textId="77777777" w:rsidR="009079D5" w:rsidRDefault="009079D5" w:rsidP="009079D5">
      <w:pPr>
        <w:pStyle w:val="Opstilling-punkttegn"/>
        <w:numPr>
          <w:ilvl w:val="0"/>
          <w:numId w:val="33"/>
        </w:numPr>
        <w:spacing w:after="240"/>
      </w:pPr>
      <w:r w:rsidRPr="005035CA">
        <w:t xml:space="preserve">Enhver social indsats skal tage udgangspunkt i den enkelte borger. </w:t>
      </w:r>
      <w:r>
        <w:t>F</w:t>
      </w:r>
      <w:r w:rsidRPr="005035CA">
        <w:t>ormålsparagraffen til serviceloven</w:t>
      </w:r>
      <w:r>
        <w:t xml:space="preserve"> skal revideres, så det præciseres</w:t>
      </w:r>
      <w:r w:rsidRPr="005035CA">
        <w:t xml:space="preserve">, </w:t>
      </w:r>
      <w:r>
        <w:t xml:space="preserve">at </w:t>
      </w:r>
      <w:r w:rsidRPr="005035CA">
        <w:t xml:space="preserve">løsninger altid </w:t>
      </w:r>
      <w:r>
        <w:t xml:space="preserve">skal </w:t>
      </w:r>
      <w:r w:rsidRPr="005035CA">
        <w:t>laves sammen med borgeren med udgangspunkt i forbedring af borgerens livskvalitet, og både proces og indhold skal give mening for borgeren.</w:t>
      </w:r>
    </w:p>
    <w:p w14:paraId="4AF866E7" w14:textId="774B5DCA" w:rsidR="009079D5" w:rsidRDefault="009079D5" w:rsidP="009079D5">
      <w:pPr>
        <w:pStyle w:val="Opstilling-punkttegn"/>
        <w:numPr>
          <w:ilvl w:val="0"/>
          <w:numId w:val="33"/>
        </w:numPr>
        <w:spacing w:after="240"/>
      </w:pPr>
      <w:r>
        <w:lastRenderedPageBreak/>
        <w:t>Dialogprincippet i retssikkerhedslovens §4 præciseres fx gennem fokus på DH og KL’s fælles principper om</w:t>
      </w:r>
      <w:r w:rsidR="0070591B">
        <w:t>,</w:t>
      </w:r>
      <w:r>
        <w:t xml:space="preserve"> at gensidig tillid og godt samarbejde</w:t>
      </w:r>
      <w:r>
        <w:rPr>
          <w:rStyle w:val="Fodnotehenvisning"/>
        </w:rPr>
        <w:footnoteReference w:id="9"/>
      </w:r>
      <w:r>
        <w:t>:</w:t>
      </w:r>
    </w:p>
    <w:p w14:paraId="36909891" w14:textId="77777777" w:rsidR="009079D5" w:rsidRDefault="009079D5" w:rsidP="009079D5">
      <w:pPr>
        <w:pStyle w:val="Opstilling-punkttegn"/>
        <w:numPr>
          <w:ilvl w:val="1"/>
          <w:numId w:val="36"/>
        </w:numPr>
        <w:spacing w:after="240"/>
      </w:pPr>
      <w:r>
        <w:t>Skal synliggøres og sættes i centrum i den kommunale sagsbehandling</w:t>
      </w:r>
    </w:p>
    <w:p w14:paraId="6439B4B0" w14:textId="77777777" w:rsidR="009079D5" w:rsidRDefault="009079D5" w:rsidP="009079D5">
      <w:pPr>
        <w:pStyle w:val="Opstilling-punkttegn"/>
        <w:numPr>
          <w:ilvl w:val="1"/>
          <w:numId w:val="36"/>
        </w:numPr>
        <w:spacing w:after="240"/>
      </w:pPr>
      <w:r>
        <w:t>Skabes gennem fælles mål og mulighed for reel indflydelse</w:t>
      </w:r>
    </w:p>
    <w:p w14:paraId="14D59EC1" w14:textId="77777777" w:rsidR="009079D5" w:rsidRDefault="009079D5" w:rsidP="009079D5">
      <w:pPr>
        <w:pStyle w:val="Opstilling-punkttegn"/>
        <w:numPr>
          <w:ilvl w:val="1"/>
          <w:numId w:val="36"/>
        </w:numPr>
        <w:spacing w:after="240"/>
      </w:pPr>
      <w:r>
        <w:t>Skabes gennem et fælles overblik og indsigt i hindandens præmisser, viden og ekspertise</w:t>
      </w:r>
    </w:p>
    <w:p w14:paraId="62380B48" w14:textId="77777777" w:rsidR="009079D5" w:rsidRDefault="009079D5" w:rsidP="009079D5">
      <w:pPr>
        <w:pStyle w:val="Opstilling-punkttegn"/>
        <w:numPr>
          <w:ilvl w:val="1"/>
          <w:numId w:val="36"/>
        </w:numPr>
        <w:spacing w:after="240"/>
      </w:pPr>
      <w:r>
        <w:t>Kræver tid og fleksibilitet</w:t>
      </w:r>
    </w:p>
    <w:p w14:paraId="1B15B9B3" w14:textId="77777777" w:rsidR="009079D5" w:rsidRDefault="009079D5" w:rsidP="009079D5">
      <w:pPr>
        <w:pStyle w:val="Opstilling-punkttegn"/>
        <w:numPr>
          <w:ilvl w:val="1"/>
          <w:numId w:val="36"/>
        </w:numPr>
        <w:spacing w:after="240"/>
      </w:pPr>
      <w:r>
        <w:t>Forudsætter gennemsigtighed og tilgængelighed</w:t>
      </w:r>
    </w:p>
    <w:p w14:paraId="2B81DB20" w14:textId="77777777" w:rsidR="009079D5" w:rsidRPr="00A44EE4" w:rsidRDefault="009079D5" w:rsidP="009079D5">
      <w:pPr>
        <w:pStyle w:val="Overskrift3"/>
        <w:rPr>
          <w:rStyle w:val="Underoverskrift"/>
          <w:b w:val="0"/>
        </w:rPr>
      </w:pPr>
      <w:bookmarkStart w:id="28" w:name="_Toc90284231"/>
      <w:bookmarkStart w:id="29" w:name="_Toc90291135"/>
      <w:bookmarkStart w:id="30" w:name="_Toc90291251"/>
      <w:bookmarkStart w:id="31" w:name="_Toc102388670"/>
      <w:bookmarkStart w:id="32" w:name="_Toc90284229"/>
      <w:bookmarkStart w:id="33" w:name="_Toc90291133"/>
      <w:bookmarkStart w:id="34" w:name="_Toc90291249"/>
      <w:r>
        <w:rPr>
          <w:rStyle w:val="Underoverskrift"/>
          <w:b w:val="0"/>
        </w:rPr>
        <w:t>4</w:t>
      </w:r>
      <w:r w:rsidRPr="00A44EE4">
        <w:rPr>
          <w:rStyle w:val="Underoverskrift"/>
          <w:b w:val="0"/>
        </w:rPr>
        <w:t>. Fjernelse af unødvendige revurderinger ved uændret behov</w:t>
      </w:r>
      <w:bookmarkEnd w:id="28"/>
      <w:bookmarkEnd w:id="29"/>
      <w:bookmarkEnd w:id="30"/>
      <w:bookmarkEnd w:id="31"/>
    </w:p>
    <w:p w14:paraId="2FC01EF6" w14:textId="77777777" w:rsidR="009079D5" w:rsidRPr="005035CA" w:rsidRDefault="009079D5" w:rsidP="009079D5">
      <w:pPr>
        <w:spacing w:after="240"/>
      </w:pPr>
      <w:r>
        <w:t>Revurderinger ved flytning til anden kommune og årlige (eller hyppigere) revurderinger uden, at der er ændringer i borgerens behov, kræver et unødvendigt ressourcetræk af både borger og visiterende myndighed. Det indebærer</w:t>
      </w:r>
      <w:r w:rsidRPr="0095312E">
        <w:t xml:space="preserve"> </w:t>
      </w:r>
      <w:r w:rsidRPr="005035CA">
        <w:t>dokumentation</w:t>
      </w:r>
      <w:r>
        <w:t xml:space="preserve">, </w:t>
      </w:r>
      <w:r w:rsidRPr="005035CA">
        <w:t xml:space="preserve">sagsbehandlingen </w:t>
      </w:r>
      <w:r>
        <w:t xml:space="preserve">kan </w:t>
      </w:r>
      <w:r w:rsidRPr="005035CA">
        <w:t>trække i langdrag</w:t>
      </w:r>
      <w:r>
        <w:t xml:space="preserve">, og det kan medføre </w:t>
      </w:r>
      <w:r w:rsidRPr="005035CA">
        <w:t>en bure</w:t>
      </w:r>
      <w:r>
        <w:t>aukratisk kultur, der fordrer</w:t>
      </w:r>
      <w:r w:rsidRPr="005035CA">
        <w:t xml:space="preserve"> mistillid mellem </w:t>
      </w:r>
      <w:r>
        <w:t>myndighed og borger.</w:t>
      </w:r>
    </w:p>
    <w:p w14:paraId="78709004" w14:textId="77777777" w:rsidR="009079D5" w:rsidRPr="005035CA" w:rsidRDefault="009079D5" w:rsidP="009079D5">
      <w:pPr>
        <w:spacing w:after="240"/>
        <w:rPr>
          <w:b/>
        </w:rPr>
      </w:pPr>
      <w:r>
        <w:rPr>
          <w:b/>
        </w:rPr>
        <w:t>DH Foreslår:</w:t>
      </w:r>
    </w:p>
    <w:p w14:paraId="1151E2B1" w14:textId="77777777" w:rsidR="009079D5" w:rsidRPr="005035CA" w:rsidRDefault="009079D5" w:rsidP="009079D5">
      <w:pPr>
        <w:pStyle w:val="Opstilling-punkttegn"/>
        <w:numPr>
          <w:ilvl w:val="0"/>
          <w:numId w:val="18"/>
        </w:numPr>
        <w:spacing w:after="240"/>
      </w:pPr>
      <w:r>
        <w:t xml:space="preserve">De årlige </w:t>
      </w:r>
      <w:r w:rsidRPr="005035CA">
        <w:t xml:space="preserve">og </w:t>
      </w:r>
      <w:r>
        <w:t>til tider hyppigere</w:t>
      </w:r>
      <w:r w:rsidRPr="005035CA">
        <w:t xml:space="preserve"> revurderinger af f</w:t>
      </w:r>
      <w:r>
        <w:t xml:space="preserve">x </w:t>
      </w:r>
      <w:r w:rsidRPr="005035CA">
        <w:t xml:space="preserve">hjælpemidler, tabt arbejdsfortjeneste, merudgifter, hjælperordninger, </w:t>
      </w:r>
      <w:r>
        <w:t>ledsageordninger mv. er</w:t>
      </w:r>
      <w:r w:rsidRPr="005035CA">
        <w:t>stattes af en ret til at benytte tro-og-love erklæring, hvis borgeren ikke oplever væsentlige ændringer i</w:t>
      </w:r>
      <w:r>
        <w:t xml:space="preserve"> funktionsniveau eller behov</w:t>
      </w:r>
      <w:r w:rsidRPr="005035CA">
        <w:t>.</w:t>
      </w:r>
    </w:p>
    <w:p w14:paraId="0D724FE2" w14:textId="77777777" w:rsidR="009079D5" w:rsidRDefault="009079D5" w:rsidP="009079D5">
      <w:pPr>
        <w:pStyle w:val="Opstilling-punkttegn"/>
        <w:numPr>
          <w:ilvl w:val="0"/>
          <w:numId w:val="18"/>
        </w:numPr>
        <w:spacing w:after="240"/>
      </w:pPr>
      <w:r>
        <w:t>R</w:t>
      </w:r>
      <w:r w:rsidRPr="005035CA">
        <w:t>evurdering af hjælpen</w:t>
      </w:r>
      <w:r>
        <w:t xml:space="preserve"> ved flytning til ny </w:t>
      </w:r>
      <w:r w:rsidRPr="005035CA">
        <w:t>kommune</w:t>
      </w:r>
      <w:r>
        <w:t xml:space="preserve"> fjernes ligesom det gælder for tildeling af hjælpemidler.</w:t>
      </w:r>
    </w:p>
    <w:p w14:paraId="756F51B0" w14:textId="77777777" w:rsidR="009079D5" w:rsidRPr="00A44EE4" w:rsidRDefault="009079D5" w:rsidP="009079D5">
      <w:pPr>
        <w:pStyle w:val="Overskrift3"/>
        <w:rPr>
          <w:rStyle w:val="Underoverskrift"/>
          <w:b w:val="0"/>
        </w:rPr>
      </w:pPr>
      <w:bookmarkStart w:id="35" w:name="_Toc102388671"/>
      <w:r>
        <w:rPr>
          <w:sz w:val="22"/>
          <w:szCs w:val="22"/>
        </w:rPr>
        <w:t>5</w:t>
      </w:r>
      <w:r w:rsidRPr="00A44EE4">
        <w:rPr>
          <w:sz w:val="22"/>
          <w:szCs w:val="22"/>
        </w:rPr>
        <w:t xml:space="preserve">. </w:t>
      </w:r>
      <w:r w:rsidRPr="00A44EE4">
        <w:rPr>
          <w:rStyle w:val="Underoverskrift"/>
          <w:b w:val="0"/>
        </w:rPr>
        <w:t>Nationalt fastsatte sagsbehandlings- og afgørelsesfrister</w:t>
      </w:r>
      <w:bookmarkEnd w:id="32"/>
      <w:bookmarkEnd w:id="33"/>
      <w:bookmarkEnd w:id="34"/>
      <w:bookmarkEnd w:id="35"/>
    </w:p>
    <w:p w14:paraId="4A9DBCCE" w14:textId="77777777" w:rsidR="009079D5" w:rsidRPr="005A0C20" w:rsidRDefault="009079D5" w:rsidP="009079D5">
      <w:pPr>
        <w:spacing w:after="240"/>
      </w:pPr>
      <w:r w:rsidRPr="005A0C20">
        <w:t>Der er behov for mere strukturerede rammer omkring sagsbehandlingstider for afgørelser på socialområdet</w:t>
      </w:r>
      <w:r>
        <w:t xml:space="preserve">. </w:t>
      </w:r>
    </w:p>
    <w:p w14:paraId="20610C05" w14:textId="77777777" w:rsidR="009079D5" w:rsidRPr="005A0C20" w:rsidRDefault="009079D5" w:rsidP="009079D5">
      <w:pPr>
        <w:spacing w:after="240"/>
      </w:pPr>
      <w:r w:rsidRPr="005A0C20">
        <w:rPr>
          <w:b/>
        </w:rPr>
        <w:t>DH foreslår, at</w:t>
      </w:r>
      <w:r w:rsidRPr="005A0C20">
        <w:t xml:space="preserve">: </w:t>
      </w:r>
    </w:p>
    <w:p w14:paraId="4616E5D8" w14:textId="77777777" w:rsidR="009079D5" w:rsidRDefault="009079D5" w:rsidP="009079D5">
      <w:pPr>
        <w:pStyle w:val="Opstilling-punkttegn"/>
        <w:numPr>
          <w:ilvl w:val="0"/>
          <w:numId w:val="16"/>
        </w:numPr>
        <w:spacing w:after="240"/>
      </w:pPr>
      <w:r w:rsidRPr="005A0C20">
        <w:t>Der s</w:t>
      </w:r>
      <w:r>
        <w:t>kal fast</w:t>
      </w:r>
      <w:r w:rsidRPr="005A0C20">
        <w:t>sættes nationale retningslinjer for både sa</w:t>
      </w:r>
      <w:r>
        <w:t>gsbehandlingstider og afgørelsesfrister.</w:t>
      </w:r>
    </w:p>
    <w:p w14:paraId="777C7AFD" w14:textId="77777777" w:rsidR="009079D5" w:rsidRDefault="009079D5" w:rsidP="009079D5">
      <w:pPr>
        <w:pStyle w:val="Opstilling-punkttegn"/>
        <w:numPr>
          <w:ilvl w:val="1"/>
          <w:numId w:val="34"/>
        </w:numPr>
        <w:spacing w:after="240"/>
      </w:pPr>
      <w:r w:rsidRPr="005A0C20">
        <w:t>Fristerne sk</w:t>
      </w:r>
      <w:r>
        <w:t>al afspejle sagens kompleksitet og borgernes behov. E</w:t>
      </w:r>
      <w:r w:rsidRPr="005A0C20">
        <w:t>ksempelvis skal der være korte frister på behandling af sager o</w:t>
      </w:r>
      <w:r>
        <w:t>m reparationer af hjælpemidler og støtte til handicapbil og rimelig frist ved akutte behov.</w:t>
      </w:r>
    </w:p>
    <w:p w14:paraId="7D872ED9" w14:textId="77777777" w:rsidR="009079D5" w:rsidRPr="005A0C20" w:rsidRDefault="009079D5" w:rsidP="009079D5">
      <w:pPr>
        <w:pStyle w:val="Opstilling-punkttegn"/>
        <w:numPr>
          <w:ilvl w:val="1"/>
          <w:numId w:val="34"/>
        </w:numPr>
        <w:spacing w:after="240"/>
      </w:pPr>
      <w:r>
        <w:t>Den visiterende myndighed forpligtes på, at mindst 90 % af sagerne inden for et område</w:t>
      </w:r>
      <w:r w:rsidRPr="005A0C20">
        <w:t xml:space="preserve"> skal afgøres inden for de nationalt fastsatte frister.</w:t>
      </w:r>
    </w:p>
    <w:p w14:paraId="461D2D3F" w14:textId="77777777" w:rsidR="009079D5" w:rsidRDefault="009079D5" w:rsidP="009079D5">
      <w:pPr>
        <w:pStyle w:val="Opstilling-punkttegn"/>
        <w:numPr>
          <w:ilvl w:val="1"/>
          <w:numId w:val="34"/>
        </w:numPr>
        <w:spacing w:after="240"/>
      </w:pPr>
      <w:r w:rsidRPr="005A0C20">
        <w:t xml:space="preserve">Hvis </w:t>
      </w:r>
      <w:r>
        <w:t>den visiterende myndighed</w:t>
      </w:r>
      <w:r w:rsidRPr="005A0C20">
        <w:t xml:space="preserve"> ikke kan overholde fristen, skal </w:t>
      </w:r>
      <w:r>
        <w:t>den visiterende myndighed</w:t>
      </w:r>
      <w:r w:rsidRPr="005A0C20">
        <w:t xml:space="preserve"> give borgeren en begrundelse. Borgeren skal kunne klage over</w:t>
      </w:r>
      <w:r>
        <w:t xml:space="preserve"> en afgørelse om udsættelse</w:t>
      </w:r>
      <w:r w:rsidRPr="005A0C20">
        <w:t>. Eksempelvis bør travlhed ikke være en legitim begrundelse for, at en sag trækker i langdrag.</w:t>
      </w:r>
    </w:p>
    <w:p w14:paraId="685DB1CF" w14:textId="77777777" w:rsidR="009079D5" w:rsidRPr="00A44EE4" w:rsidRDefault="009079D5" w:rsidP="009079D5">
      <w:pPr>
        <w:pStyle w:val="Overskrift3"/>
        <w:rPr>
          <w:rStyle w:val="Underoverskrift"/>
          <w:b w:val="0"/>
        </w:rPr>
      </w:pPr>
      <w:bookmarkStart w:id="36" w:name="_Toc90284230"/>
      <w:bookmarkStart w:id="37" w:name="_Toc90291134"/>
      <w:bookmarkStart w:id="38" w:name="_Toc90291250"/>
      <w:bookmarkStart w:id="39" w:name="_Toc102388672"/>
      <w:r>
        <w:rPr>
          <w:rStyle w:val="Underoverskrift"/>
          <w:b w:val="0"/>
        </w:rPr>
        <w:lastRenderedPageBreak/>
        <w:t>6</w:t>
      </w:r>
      <w:r w:rsidRPr="00A44EE4">
        <w:rPr>
          <w:rStyle w:val="Underoverskrift"/>
          <w:b w:val="0"/>
        </w:rPr>
        <w:t>. Tid og plads til sagsbehandlernes faglighed med loft over antal sager</w:t>
      </w:r>
      <w:bookmarkEnd w:id="36"/>
      <w:bookmarkEnd w:id="37"/>
      <w:bookmarkEnd w:id="38"/>
      <w:bookmarkEnd w:id="39"/>
    </w:p>
    <w:p w14:paraId="6D7B4FED" w14:textId="77777777" w:rsidR="009079D5" w:rsidRDefault="009079D5" w:rsidP="009079D5">
      <w:pPr>
        <w:autoSpaceDE w:val="0"/>
        <w:autoSpaceDN w:val="0"/>
        <w:adjustRightInd w:val="0"/>
        <w:spacing w:line="240" w:lineRule="auto"/>
        <w:rPr>
          <w:rFonts w:asciiTheme="minorHAnsi" w:hAnsiTheme="minorHAnsi" w:cstheme="minorHAnsi"/>
        </w:rPr>
      </w:pPr>
      <w:r>
        <w:rPr>
          <w:rFonts w:asciiTheme="minorHAnsi" w:hAnsiTheme="minorHAnsi" w:cstheme="minorHAnsi"/>
        </w:rPr>
        <w:t xml:space="preserve">Sagsbehandlerne skal </w:t>
      </w:r>
      <w:r w:rsidRPr="00770AF5">
        <w:rPr>
          <w:rFonts w:asciiTheme="minorHAnsi" w:hAnsiTheme="minorHAnsi" w:cstheme="minorHAnsi"/>
        </w:rPr>
        <w:t>have muligh</w:t>
      </w:r>
      <w:r>
        <w:rPr>
          <w:rFonts w:asciiTheme="minorHAnsi" w:hAnsiTheme="minorHAnsi" w:cstheme="minorHAnsi"/>
        </w:rPr>
        <w:t>ed for at bruge deres faglighed. Der skal være tid og overskud til samarbejdet med borgeren og til at inddrage ekstern faglig viden, når det er nødvendigt.</w:t>
      </w:r>
    </w:p>
    <w:p w14:paraId="2EB62F5C" w14:textId="77777777" w:rsidR="009079D5" w:rsidRDefault="009079D5" w:rsidP="009079D5">
      <w:pPr>
        <w:autoSpaceDE w:val="0"/>
        <w:autoSpaceDN w:val="0"/>
        <w:adjustRightInd w:val="0"/>
        <w:spacing w:line="240" w:lineRule="auto"/>
        <w:rPr>
          <w:rFonts w:asciiTheme="minorHAnsi" w:hAnsiTheme="minorHAnsi" w:cstheme="minorHAnsi"/>
        </w:rPr>
      </w:pPr>
    </w:p>
    <w:p w14:paraId="1E43A46E" w14:textId="77777777" w:rsidR="009079D5" w:rsidRPr="00770AF5" w:rsidRDefault="009079D5" w:rsidP="009079D5">
      <w:pPr>
        <w:spacing w:after="240"/>
        <w:rPr>
          <w:rFonts w:asciiTheme="minorHAnsi" w:hAnsiTheme="minorHAnsi" w:cstheme="minorHAnsi"/>
        </w:rPr>
      </w:pPr>
      <w:r w:rsidRPr="00770AF5">
        <w:rPr>
          <w:rFonts w:asciiTheme="minorHAnsi" w:hAnsiTheme="minorHAnsi" w:cstheme="minorHAnsi"/>
          <w:b/>
        </w:rPr>
        <w:t>DH foreslår, at</w:t>
      </w:r>
      <w:r w:rsidRPr="00770AF5">
        <w:rPr>
          <w:rFonts w:asciiTheme="minorHAnsi" w:hAnsiTheme="minorHAnsi" w:cstheme="minorHAnsi"/>
        </w:rPr>
        <w:t xml:space="preserve">: </w:t>
      </w:r>
    </w:p>
    <w:p w14:paraId="2407D8CB" w14:textId="77777777" w:rsidR="009079D5" w:rsidRDefault="009079D5" w:rsidP="009079D5">
      <w:pPr>
        <w:pStyle w:val="Listeafsnit"/>
        <w:numPr>
          <w:ilvl w:val="0"/>
          <w:numId w:val="17"/>
        </w:numPr>
        <w:rPr>
          <w:rFonts w:asciiTheme="minorHAnsi" w:hAnsiTheme="minorHAnsi" w:cstheme="minorHAnsi"/>
          <w:sz w:val="20"/>
        </w:rPr>
      </w:pPr>
      <w:r w:rsidRPr="00770AF5">
        <w:rPr>
          <w:rFonts w:asciiTheme="minorHAnsi" w:hAnsiTheme="minorHAnsi" w:cstheme="minorHAnsi"/>
          <w:sz w:val="20"/>
        </w:rPr>
        <w:t xml:space="preserve">Der fastsættes et sagsloft på </w:t>
      </w:r>
      <w:r>
        <w:rPr>
          <w:rFonts w:asciiTheme="minorHAnsi" w:hAnsiTheme="minorHAnsi" w:cstheme="minorHAnsi"/>
          <w:sz w:val="20"/>
        </w:rPr>
        <w:t xml:space="preserve">fx </w:t>
      </w:r>
      <w:r w:rsidRPr="00770AF5">
        <w:rPr>
          <w:rFonts w:asciiTheme="minorHAnsi" w:hAnsiTheme="minorHAnsi" w:cstheme="minorHAnsi"/>
          <w:sz w:val="20"/>
        </w:rPr>
        <w:t xml:space="preserve">max 55-70 borgere pr. sagsbehandler på voksenhandicapområdet og </w:t>
      </w:r>
      <w:r>
        <w:rPr>
          <w:rFonts w:asciiTheme="minorHAnsi" w:hAnsiTheme="minorHAnsi" w:cstheme="minorHAnsi"/>
          <w:sz w:val="20"/>
        </w:rPr>
        <w:t xml:space="preserve">fx </w:t>
      </w:r>
      <w:r w:rsidRPr="00770AF5">
        <w:rPr>
          <w:rFonts w:asciiTheme="minorHAnsi" w:hAnsiTheme="minorHAnsi" w:cstheme="minorHAnsi"/>
          <w:sz w:val="20"/>
        </w:rPr>
        <w:t>25-35 på børnehandicapområdet afhængigt af problemstillingernes kompleksitet</w:t>
      </w:r>
      <w:r>
        <w:rPr>
          <w:rFonts w:asciiTheme="minorHAnsi" w:hAnsiTheme="minorHAnsi" w:cstheme="minorHAnsi"/>
          <w:sz w:val="20"/>
        </w:rPr>
        <w:t>. Det præcise antal fastsættes i samarbejde med Dansk Socialrådgiverforening.</w:t>
      </w:r>
    </w:p>
    <w:p w14:paraId="5C14AC80" w14:textId="77777777" w:rsidR="009079D5" w:rsidRPr="00A44EE4" w:rsidRDefault="009079D5" w:rsidP="009079D5">
      <w:pPr>
        <w:pStyle w:val="Overskrift3"/>
        <w:rPr>
          <w:rStyle w:val="Underoverskrift"/>
          <w:b w:val="0"/>
        </w:rPr>
      </w:pPr>
      <w:bookmarkStart w:id="40" w:name="_Toc102388673"/>
      <w:r>
        <w:rPr>
          <w:rStyle w:val="Underoverskrift"/>
          <w:b w:val="0"/>
        </w:rPr>
        <w:t>7</w:t>
      </w:r>
      <w:r w:rsidRPr="00A44EE4">
        <w:rPr>
          <w:rStyle w:val="Underoverskrift"/>
          <w:b w:val="0"/>
        </w:rPr>
        <w:t xml:space="preserve">. </w:t>
      </w:r>
      <w:r>
        <w:rPr>
          <w:rStyle w:val="Underoverskrift"/>
          <w:b w:val="0"/>
        </w:rPr>
        <w:t>Kvalifikationskrav til sagsbehandlerne på handicapområdet</w:t>
      </w:r>
      <w:bookmarkEnd w:id="40"/>
    </w:p>
    <w:p w14:paraId="202A92A7" w14:textId="77777777" w:rsidR="009079D5" w:rsidRDefault="009079D5" w:rsidP="009079D5">
      <w:pPr>
        <w:rPr>
          <w:rFonts w:asciiTheme="minorHAnsi" w:hAnsiTheme="minorHAnsi" w:cstheme="minorHAnsi"/>
        </w:rPr>
      </w:pPr>
      <w:r>
        <w:rPr>
          <w:rFonts w:asciiTheme="minorHAnsi" w:hAnsiTheme="minorHAnsi" w:cstheme="minorHAnsi"/>
        </w:rPr>
        <w:t>Langt fra alle sagsbehandlere på handicapområdet har en målrettet uddannelse og tilstrækkelige kompetencer inden for handicap og juridiske kompetencer.</w:t>
      </w:r>
    </w:p>
    <w:p w14:paraId="1C48D694" w14:textId="77777777" w:rsidR="009079D5" w:rsidRDefault="009079D5" w:rsidP="009079D5">
      <w:pPr>
        <w:rPr>
          <w:rFonts w:asciiTheme="minorHAnsi" w:hAnsiTheme="minorHAnsi" w:cstheme="minorHAnsi"/>
        </w:rPr>
      </w:pPr>
    </w:p>
    <w:p w14:paraId="315CB14D" w14:textId="77777777" w:rsidR="009079D5" w:rsidRPr="00770AF5" w:rsidRDefault="009079D5" w:rsidP="009079D5">
      <w:pPr>
        <w:spacing w:after="240"/>
        <w:rPr>
          <w:rFonts w:asciiTheme="minorHAnsi" w:hAnsiTheme="minorHAnsi" w:cstheme="minorHAnsi"/>
        </w:rPr>
      </w:pPr>
      <w:r w:rsidRPr="00770AF5">
        <w:rPr>
          <w:rFonts w:asciiTheme="minorHAnsi" w:hAnsiTheme="minorHAnsi" w:cstheme="minorHAnsi"/>
          <w:b/>
        </w:rPr>
        <w:t>DH foreslår, at</w:t>
      </w:r>
      <w:r w:rsidRPr="00770AF5">
        <w:rPr>
          <w:rFonts w:asciiTheme="minorHAnsi" w:hAnsiTheme="minorHAnsi" w:cstheme="minorHAnsi"/>
        </w:rPr>
        <w:t xml:space="preserve">: </w:t>
      </w:r>
    </w:p>
    <w:p w14:paraId="4C0AA007" w14:textId="77777777" w:rsidR="009079D5" w:rsidRPr="00CA5328" w:rsidRDefault="009079D5" w:rsidP="009079D5">
      <w:pPr>
        <w:pStyle w:val="Listeafsnit"/>
        <w:numPr>
          <w:ilvl w:val="0"/>
          <w:numId w:val="37"/>
        </w:numPr>
        <w:rPr>
          <w:rFonts w:asciiTheme="minorHAnsi" w:hAnsiTheme="minorHAnsi" w:cstheme="minorHAnsi"/>
          <w:sz w:val="20"/>
        </w:rPr>
      </w:pPr>
      <w:r w:rsidRPr="00CA5328">
        <w:rPr>
          <w:rFonts w:asciiTheme="minorHAnsi" w:eastAsiaTheme="minorEastAsia" w:hAnsiTheme="minorHAnsi" w:cstheme="minorHAnsi"/>
          <w:sz w:val="20"/>
        </w:rPr>
        <w:t>Der skal sti</w:t>
      </w:r>
      <w:r w:rsidRPr="00CA5328">
        <w:rPr>
          <w:rFonts w:asciiTheme="minorHAnsi" w:hAnsiTheme="minorHAnsi" w:cstheme="minorHAnsi"/>
          <w:sz w:val="20"/>
        </w:rPr>
        <w:t xml:space="preserve">lles krav til sagsbehandlernes </w:t>
      </w:r>
      <w:r w:rsidRPr="00CA5328">
        <w:rPr>
          <w:rFonts w:asciiTheme="minorHAnsi" w:eastAsiaTheme="minorEastAsia" w:hAnsiTheme="minorHAnsi" w:cstheme="minorHAnsi"/>
          <w:sz w:val="20"/>
        </w:rPr>
        <w:t>uddannelse og kvalifikationer.</w:t>
      </w:r>
    </w:p>
    <w:p w14:paraId="4EAA0A34" w14:textId="77777777" w:rsidR="009079D5" w:rsidRPr="00CA5328" w:rsidRDefault="009079D5" w:rsidP="009079D5">
      <w:pPr>
        <w:pStyle w:val="Listeafsnit"/>
        <w:ind w:left="1080"/>
        <w:rPr>
          <w:rFonts w:asciiTheme="minorHAnsi" w:hAnsiTheme="minorHAnsi" w:cstheme="minorHAnsi"/>
          <w:sz w:val="20"/>
        </w:rPr>
      </w:pPr>
    </w:p>
    <w:p w14:paraId="6C5648AD" w14:textId="77777777" w:rsidR="009079D5" w:rsidRPr="00CA5328" w:rsidRDefault="009079D5" w:rsidP="009079D5">
      <w:pPr>
        <w:pStyle w:val="Listeafsnit"/>
        <w:numPr>
          <w:ilvl w:val="0"/>
          <w:numId w:val="37"/>
        </w:numPr>
        <w:rPr>
          <w:rFonts w:asciiTheme="minorHAnsi" w:hAnsiTheme="minorHAnsi" w:cstheme="minorHAnsi"/>
          <w:sz w:val="20"/>
        </w:rPr>
      </w:pPr>
      <w:r w:rsidRPr="00CA5328">
        <w:rPr>
          <w:rFonts w:asciiTheme="minorHAnsi" w:eastAsiaTheme="minorEastAsia" w:hAnsiTheme="minorHAnsi" w:cstheme="minorHAnsi"/>
          <w:sz w:val="20"/>
        </w:rPr>
        <w:t>Lever en kommune ikke op til kravene, skal kommunen forpligtes til at indhente ekstern hjælp.</w:t>
      </w:r>
    </w:p>
    <w:p w14:paraId="452F023E" w14:textId="77777777" w:rsidR="009079D5" w:rsidRPr="00A44EE4" w:rsidRDefault="009079D5" w:rsidP="009079D5">
      <w:pPr>
        <w:pStyle w:val="Overskrift3"/>
        <w:rPr>
          <w:rStyle w:val="Underoverskrift"/>
          <w:b w:val="0"/>
        </w:rPr>
      </w:pPr>
      <w:bookmarkStart w:id="41" w:name="_Toc102388674"/>
      <w:r>
        <w:rPr>
          <w:rStyle w:val="Underoverskrift"/>
          <w:b w:val="0"/>
        </w:rPr>
        <w:t>8. Øremærkede midler til udbredelse af sagsbehandlingsmodeller</w:t>
      </w:r>
      <w:bookmarkEnd w:id="41"/>
    </w:p>
    <w:p w14:paraId="3775E5DB" w14:textId="77777777" w:rsidR="009079D5" w:rsidRDefault="009079D5" w:rsidP="009079D5">
      <w:r>
        <w:t xml:space="preserve">Der findes rigtig gode erfaringer med </w:t>
      </w:r>
      <w:r w:rsidRPr="00ED1FA4">
        <w:t>sagsbehandlingsmetoder</w:t>
      </w:r>
      <w:r>
        <w:t>ne</w:t>
      </w:r>
      <w:r w:rsidRPr="00ED1FA4">
        <w:t xml:space="preserve"> </w:t>
      </w:r>
      <w:r>
        <w:t>fra hhv. Herningmodellen</w:t>
      </w:r>
      <w:r>
        <w:rPr>
          <w:rStyle w:val="Fodnotehenvisning"/>
        </w:rPr>
        <w:footnoteReference w:id="10"/>
      </w:r>
      <w:r>
        <w:t xml:space="preserve"> </w:t>
      </w:r>
      <w:r w:rsidRPr="00ED1FA4">
        <w:t>og Aarhusmodellen</w:t>
      </w:r>
      <w:r>
        <w:rPr>
          <w:rStyle w:val="Fodnotehenvisning"/>
        </w:rPr>
        <w:footnoteReference w:id="11"/>
      </w:r>
      <w:r>
        <w:t xml:space="preserve">, </w:t>
      </w:r>
      <w:r w:rsidRPr="00ED1FA4">
        <w:t xml:space="preserve">som </w:t>
      </w:r>
      <w:r>
        <w:t>bør udvikles og udbredes til alle kommuner.</w:t>
      </w:r>
    </w:p>
    <w:p w14:paraId="40FFDA86" w14:textId="77777777" w:rsidR="009079D5" w:rsidRDefault="009079D5" w:rsidP="009079D5"/>
    <w:p w14:paraId="326F29F6" w14:textId="77777777" w:rsidR="009079D5" w:rsidRPr="005035CA" w:rsidRDefault="009079D5" w:rsidP="009079D5">
      <w:pPr>
        <w:spacing w:after="240"/>
        <w:rPr>
          <w:b/>
        </w:rPr>
      </w:pPr>
      <w:r>
        <w:rPr>
          <w:b/>
        </w:rPr>
        <w:t>DH Foreslår:</w:t>
      </w:r>
    </w:p>
    <w:p w14:paraId="6DA98FB1" w14:textId="77777777" w:rsidR="009079D5" w:rsidRPr="00937C1D" w:rsidRDefault="009079D5" w:rsidP="009079D5">
      <w:pPr>
        <w:pStyle w:val="Opstilling-punkttegn"/>
        <w:numPr>
          <w:ilvl w:val="0"/>
          <w:numId w:val="38"/>
        </w:numPr>
      </w:pPr>
      <w:r w:rsidRPr="00937C1D">
        <w:t>Erfaringer fra Herningmodellen og Aarhusmodellen udvikles og udbredes til alle kommuner – enten ved lov eller etablering a</w:t>
      </w:r>
      <w:r>
        <w:t>f øremærket lån til investering,</w:t>
      </w:r>
      <w:r w:rsidRPr="00937C1D">
        <w:t xml:space="preserve"> </w:t>
      </w:r>
      <w:r w:rsidRPr="00ED1FA4">
        <w:t>så kommunerne kan låne til investeringen, der kan tilbagebetales, når fortjenesten kommer ind.</w:t>
      </w:r>
    </w:p>
    <w:p w14:paraId="1CFA6487" w14:textId="77777777" w:rsidR="009079D5" w:rsidRPr="005035CA" w:rsidRDefault="009079D5" w:rsidP="00C97A9B">
      <w:pPr>
        <w:pStyle w:val="Opstilling-punkttegn"/>
        <w:numPr>
          <w:ilvl w:val="0"/>
          <w:numId w:val="0"/>
        </w:numPr>
      </w:pPr>
    </w:p>
    <w:p w14:paraId="4CEF3FD2" w14:textId="77777777" w:rsidR="009079D5" w:rsidRDefault="009079D5" w:rsidP="009079D5">
      <w:pPr>
        <w:pStyle w:val="Overskrift2"/>
      </w:pPr>
      <w:bookmarkStart w:id="42" w:name="_Toc90284232"/>
      <w:bookmarkStart w:id="43" w:name="_Toc90291136"/>
      <w:bookmarkStart w:id="44" w:name="_Toc90291252"/>
      <w:bookmarkStart w:id="45" w:name="_Toc102388675"/>
      <w:r w:rsidRPr="00BC45E3">
        <w:t>Proces</w:t>
      </w:r>
      <w:r>
        <w:t>suel</w:t>
      </w:r>
      <w:r w:rsidRPr="00BC45E3">
        <w:t xml:space="preserve"> og administrativ understøttelse af sagsbehandlingen</w:t>
      </w:r>
      <w:bookmarkEnd w:id="42"/>
      <w:bookmarkEnd w:id="43"/>
      <w:bookmarkEnd w:id="44"/>
      <w:bookmarkEnd w:id="45"/>
    </w:p>
    <w:p w14:paraId="11703EA6" w14:textId="77777777" w:rsidR="009079D5" w:rsidRPr="00A44EE4" w:rsidRDefault="009079D5" w:rsidP="009079D5">
      <w:pPr>
        <w:pStyle w:val="Overskrift3"/>
        <w:rPr>
          <w:rStyle w:val="Underoverskrift"/>
          <w:b w:val="0"/>
        </w:rPr>
      </w:pPr>
      <w:bookmarkStart w:id="46" w:name="_Toc90284233"/>
      <w:bookmarkStart w:id="47" w:name="_Toc90291137"/>
      <w:bookmarkStart w:id="48" w:name="_Toc90291253"/>
      <w:bookmarkStart w:id="49" w:name="_Toc102388676"/>
      <w:r>
        <w:rPr>
          <w:rStyle w:val="Underoverskrift"/>
          <w:b w:val="0"/>
        </w:rPr>
        <w:t xml:space="preserve">9. </w:t>
      </w:r>
      <w:r w:rsidRPr="00A44EE4">
        <w:rPr>
          <w:rStyle w:val="Underoverskrift"/>
          <w:b w:val="0"/>
        </w:rPr>
        <w:t>Uvildig borgerrådgiver i alle kommuner</w:t>
      </w:r>
      <w:bookmarkEnd w:id="46"/>
      <w:bookmarkEnd w:id="47"/>
      <w:bookmarkEnd w:id="48"/>
      <w:bookmarkEnd w:id="49"/>
    </w:p>
    <w:p w14:paraId="1A20143D" w14:textId="77777777" w:rsidR="009079D5" w:rsidRPr="00BC45E3" w:rsidRDefault="009079D5" w:rsidP="009079D5">
      <w:pPr>
        <w:spacing w:after="240"/>
      </w:pPr>
      <w:r w:rsidRPr="00BC45E3">
        <w:t xml:space="preserve">Borgerne skal have mulighed for hjælp og støtte til at navigere i systemet og </w:t>
      </w:r>
      <w:r>
        <w:t>få uvildig rådgivning</w:t>
      </w:r>
      <w:r w:rsidRPr="00BC45E3">
        <w:t>.</w:t>
      </w:r>
    </w:p>
    <w:p w14:paraId="5BB528E6" w14:textId="77777777" w:rsidR="009079D5" w:rsidRPr="005035CA" w:rsidRDefault="009079D5" w:rsidP="009079D5">
      <w:pPr>
        <w:spacing w:after="240"/>
        <w:rPr>
          <w:b/>
        </w:rPr>
      </w:pPr>
      <w:r w:rsidRPr="005035CA">
        <w:rPr>
          <w:b/>
        </w:rPr>
        <w:t>DH foreslår, at:</w:t>
      </w:r>
    </w:p>
    <w:p w14:paraId="4FEED6FF" w14:textId="77777777" w:rsidR="009079D5" w:rsidRPr="00CA5328" w:rsidRDefault="009079D5" w:rsidP="009079D5">
      <w:pPr>
        <w:pStyle w:val="Opstilling-punkttegn"/>
        <w:numPr>
          <w:ilvl w:val="0"/>
          <w:numId w:val="19"/>
        </w:numPr>
        <w:spacing w:after="240"/>
      </w:pPr>
      <w:bookmarkStart w:id="50" w:name="_Toc4159973"/>
      <w:r>
        <w:t>A</w:t>
      </w:r>
      <w:r w:rsidRPr="005035CA">
        <w:t xml:space="preserve">lle kommuner </w:t>
      </w:r>
      <w:r>
        <w:t xml:space="preserve">skal have </w:t>
      </w:r>
      <w:r w:rsidRPr="005035CA">
        <w:t>en uvildig borgerrådgiver, som følger op på retssikkerheden i kommunen. Kommuner kan gå sammen om at have en borgerrådgiverfunktion.</w:t>
      </w:r>
      <w:bookmarkEnd w:id="50"/>
      <w:r w:rsidRPr="00FB7563">
        <w:rPr>
          <w:rFonts w:asciiTheme="minorHAnsi" w:hAnsiTheme="minorHAnsi" w:cstheme="minorHAnsi"/>
          <w:color w:val="000000"/>
        </w:rPr>
        <w:t xml:space="preserve"> Borgerrådgiverne skal </w:t>
      </w:r>
      <w:r>
        <w:rPr>
          <w:rFonts w:asciiTheme="minorHAnsi" w:hAnsiTheme="minorHAnsi" w:cstheme="minorHAnsi"/>
          <w:color w:val="000000"/>
        </w:rPr>
        <w:t xml:space="preserve">være uvildige og rådgive borgerne samt </w:t>
      </w:r>
      <w:r w:rsidRPr="00FB7563">
        <w:rPr>
          <w:rFonts w:asciiTheme="minorHAnsi" w:hAnsiTheme="minorHAnsi" w:cstheme="minorHAnsi"/>
          <w:color w:val="000000"/>
        </w:rPr>
        <w:t>medvirke til at føre tilsyn og rådgive kommunerne i deres forvaltning af retssikkerheden.</w:t>
      </w:r>
    </w:p>
    <w:p w14:paraId="18BACD81" w14:textId="77777777" w:rsidR="009079D5" w:rsidRPr="00A44EE4" w:rsidRDefault="009079D5" w:rsidP="009079D5">
      <w:pPr>
        <w:pStyle w:val="Overskrift3"/>
        <w:rPr>
          <w:rStyle w:val="Underoverskrift"/>
          <w:b w:val="0"/>
        </w:rPr>
      </w:pPr>
      <w:bookmarkStart w:id="51" w:name="_Toc90284235"/>
      <w:bookmarkStart w:id="52" w:name="_Toc90291139"/>
      <w:bookmarkStart w:id="53" w:name="_Toc90291255"/>
      <w:bookmarkStart w:id="54" w:name="_Toc102388677"/>
      <w:r>
        <w:rPr>
          <w:rStyle w:val="Underoverskrift"/>
          <w:b w:val="0"/>
        </w:rPr>
        <w:lastRenderedPageBreak/>
        <w:t>10</w:t>
      </w:r>
      <w:r w:rsidRPr="00A44EE4">
        <w:rPr>
          <w:rStyle w:val="Underoverskrift"/>
          <w:b w:val="0"/>
        </w:rPr>
        <w:t>. Borgeren får mulighed for at følge sin egen sag</w:t>
      </w:r>
      <w:bookmarkEnd w:id="51"/>
      <w:bookmarkEnd w:id="52"/>
      <w:bookmarkEnd w:id="53"/>
      <w:bookmarkEnd w:id="54"/>
    </w:p>
    <w:p w14:paraId="516A91AC" w14:textId="77777777" w:rsidR="009079D5" w:rsidRDefault="009079D5" w:rsidP="009079D5">
      <w:pPr>
        <w:spacing w:after="240"/>
      </w:pPr>
      <w:r>
        <w:t>Der er behov for at give borgerne</w:t>
      </w:r>
      <w:r w:rsidRPr="005A0C20">
        <w:t xml:space="preserve"> bedre mulighed for at følge deres egen sag.</w:t>
      </w:r>
      <w:r>
        <w:t xml:space="preserve"> I dag er det ofte sådan, at borgerne har svært ved at gennemskue sagsforløbet, og hvor langt borgerens sag er i forhold til, at der kan træffes en afgørelse.</w:t>
      </w:r>
    </w:p>
    <w:p w14:paraId="00635C17" w14:textId="77777777" w:rsidR="009079D5" w:rsidRDefault="009079D5" w:rsidP="009079D5">
      <w:pPr>
        <w:spacing w:after="240"/>
      </w:pPr>
      <w:r w:rsidRPr="00A60377">
        <w:rPr>
          <w:b/>
        </w:rPr>
        <w:t>DH foreslår, at</w:t>
      </w:r>
      <w:r>
        <w:t>:</w:t>
      </w:r>
    </w:p>
    <w:p w14:paraId="7ED08158" w14:textId="77777777" w:rsidR="009079D5" w:rsidRDefault="009079D5" w:rsidP="009079D5">
      <w:pPr>
        <w:pStyle w:val="Opstilling-punkttegn"/>
        <w:numPr>
          <w:ilvl w:val="0"/>
          <w:numId w:val="20"/>
        </w:numPr>
        <w:spacing w:after="240"/>
      </w:pPr>
      <w:r>
        <w:t>B</w:t>
      </w:r>
      <w:r w:rsidRPr="005A0C20">
        <w:t>orger</w:t>
      </w:r>
      <w:r>
        <w:t xml:space="preserve">en skal have </w:t>
      </w:r>
      <w:r w:rsidRPr="005A0C20">
        <w:t>let adgang til at følge egen sag ved elek</w:t>
      </w:r>
      <w:r>
        <w:t>t</w:t>
      </w:r>
      <w:r w:rsidRPr="005A0C20">
        <w:t xml:space="preserve">ronisk at kunne logge på </w:t>
      </w:r>
      <w:r>
        <w:t xml:space="preserve">sin </w:t>
      </w:r>
      <w:r w:rsidRPr="005A0C20">
        <w:t>sag, ligesom man i dag kan logge på Sundhed.dk og få adgang til sine data i sundhedsvæsnet</w:t>
      </w:r>
      <w:r>
        <w:t xml:space="preserve"> og Arbejdsskadestyrelsens hjemmeside og følge sin sag</w:t>
      </w:r>
      <w:r w:rsidRPr="005A0C20">
        <w:t>.</w:t>
      </w:r>
    </w:p>
    <w:p w14:paraId="1FFF0682" w14:textId="77777777" w:rsidR="009079D5" w:rsidRDefault="009079D5" w:rsidP="009079D5">
      <w:pPr>
        <w:pStyle w:val="Opstilling-punkttegn"/>
        <w:numPr>
          <w:ilvl w:val="0"/>
          <w:numId w:val="20"/>
        </w:numPr>
        <w:spacing w:after="240"/>
      </w:pPr>
      <w:r>
        <w:t>Tilsvarende skal det være muligt at følge sin sag for mennesker, der ikke kan anvende digitale løsninger. Alle mennesker skal kunne følge sin egen sag og der skal sikres tilgængelighed for alle.</w:t>
      </w:r>
    </w:p>
    <w:p w14:paraId="15A95C8E" w14:textId="77777777" w:rsidR="009079D5" w:rsidRPr="00F57C24" w:rsidRDefault="009079D5" w:rsidP="009079D5">
      <w:pPr>
        <w:pStyle w:val="Overskrift2"/>
      </w:pPr>
      <w:bookmarkStart w:id="55" w:name="_Toc90284236"/>
      <w:bookmarkStart w:id="56" w:name="_Toc90291140"/>
      <w:bookmarkStart w:id="57" w:name="_Toc90291256"/>
      <w:bookmarkStart w:id="58" w:name="_Toc102388678"/>
      <w:r>
        <w:t>M</w:t>
      </w:r>
      <w:r w:rsidRPr="00F57C24">
        <w:t>yndighedsansvar</w:t>
      </w:r>
      <w:r>
        <w:t xml:space="preserve"> på tværs af sektorer</w:t>
      </w:r>
      <w:bookmarkEnd w:id="55"/>
      <w:bookmarkEnd w:id="56"/>
      <w:bookmarkEnd w:id="57"/>
      <w:bookmarkEnd w:id="58"/>
    </w:p>
    <w:p w14:paraId="1D507753" w14:textId="77777777" w:rsidR="009079D5" w:rsidRPr="00A44EE4" w:rsidRDefault="009079D5" w:rsidP="009079D5">
      <w:pPr>
        <w:pStyle w:val="Overskrift3"/>
        <w:rPr>
          <w:rStyle w:val="Underoverskrift"/>
          <w:b w:val="0"/>
        </w:rPr>
      </w:pPr>
      <w:bookmarkStart w:id="59" w:name="_Toc18407360"/>
      <w:bookmarkStart w:id="60" w:name="_Toc90284237"/>
      <w:bookmarkStart w:id="61" w:name="_Toc90291141"/>
      <w:bookmarkStart w:id="62" w:name="_Toc90291257"/>
      <w:bookmarkStart w:id="63" w:name="_Toc102388679"/>
      <w:r>
        <w:rPr>
          <w:rStyle w:val="Underoverskrift"/>
          <w:b w:val="0"/>
        </w:rPr>
        <w:t>11</w:t>
      </w:r>
      <w:r w:rsidRPr="00A44EE4">
        <w:rPr>
          <w:rStyle w:val="Underoverskrift"/>
          <w:b w:val="0"/>
        </w:rPr>
        <w:t>. Kommende hovedlov: Én borger, én plan, én sagsbehandler</w:t>
      </w:r>
      <w:bookmarkEnd w:id="59"/>
      <w:bookmarkEnd w:id="60"/>
      <w:bookmarkEnd w:id="61"/>
      <w:bookmarkEnd w:id="62"/>
      <w:bookmarkEnd w:id="63"/>
    </w:p>
    <w:p w14:paraId="32FE666C" w14:textId="77777777" w:rsidR="009079D5" w:rsidRDefault="009079D5" w:rsidP="009079D5">
      <w:pPr>
        <w:spacing w:after="240"/>
        <w:rPr>
          <w:lang w:eastAsia="da-DK"/>
        </w:rPr>
      </w:pPr>
      <w:r>
        <w:t>Der er behov for, at en ny hovedlov understøtter en sammenhængende og tværsektoriel indsats. DH arbejder for, at den kommende hovedlov understøtter borgernes retssikkerhed.</w:t>
      </w:r>
    </w:p>
    <w:p w14:paraId="64AC0AB5" w14:textId="77777777" w:rsidR="009079D5" w:rsidRDefault="009079D5" w:rsidP="009079D5">
      <w:pPr>
        <w:spacing w:after="240"/>
      </w:pPr>
      <w:r>
        <w:rPr>
          <w:b/>
          <w:bCs/>
        </w:rPr>
        <w:t>DH foreslår, at:</w:t>
      </w:r>
    </w:p>
    <w:p w14:paraId="3723BAEA" w14:textId="77777777" w:rsidR="009079D5" w:rsidRDefault="009079D5" w:rsidP="009079D5">
      <w:pPr>
        <w:pStyle w:val="Opstilling-punkttegn"/>
        <w:numPr>
          <w:ilvl w:val="0"/>
          <w:numId w:val="32"/>
        </w:numPr>
        <w:spacing w:after="240"/>
      </w:pPr>
      <w:r>
        <w:t>Borgerne skal samtykke for at få en indsats efter hovedloven og borgeren skal til enhver tid kunne trække sit samtykke. Ved implementering af hovedloven skal der laves en målrettet indsats over for de deltagende borgere, herunder aktiviteter der klæder borgerne bedst muligt på til at give samtykke til deltagelsen. Der bør afsættes midler til en indsats med bl.a. oplysning målrettet forskellige målgrupper, samt rådgivning af borgerne, hvor der også bør afprøves en eller flere modeller for støttet beslutningstagning. Handicaporganisationerne kan med fordel inddrages i dette arbejde.</w:t>
      </w:r>
    </w:p>
    <w:p w14:paraId="70C671D4" w14:textId="77777777" w:rsidR="009079D5" w:rsidRDefault="009079D5" w:rsidP="009079D5">
      <w:pPr>
        <w:pStyle w:val="Opstilling-punkttegn"/>
        <w:numPr>
          <w:ilvl w:val="0"/>
          <w:numId w:val="32"/>
        </w:numPr>
        <w:spacing w:after="240"/>
      </w:pPr>
      <w:r>
        <w:t xml:space="preserve">Den kommende hovedlov skal omfatte følgende elementer: </w:t>
      </w:r>
    </w:p>
    <w:p w14:paraId="0809D585" w14:textId="77777777" w:rsidR="009079D5" w:rsidRDefault="009079D5" w:rsidP="009079D5">
      <w:pPr>
        <w:pStyle w:val="Opstilling-punkttegn"/>
        <w:numPr>
          <w:ilvl w:val="1"/>
          <w:numId w:val="35"/>
        </w:numPr>
        <w:spacing w:after="240"/>
      </w:pPr>
      <w:r>
        <w:t>Borgeren skal have én (koordinerende) sagsbehandler, som sikrer sammenhæng for borgeren. Borgeren skal have medindflydelse på, hvem der udpeges som koordinerende i borgerens sag.</w:t>
      </w:r>
    </w:p>
    <w:p w14:paraId="7C50FA66" w14:textId="77777777" w:rsidR="009079D5" w:rsidRDefault="009079D5" w:rsidP="009079D5">
      <w:pPr>
        <w:pStyle w:val="Opstilling-punkttegn"/>
        <w:numPr>
          <w:ilvl w:val="1"/>
          <w:numId w:val="35"/>
        </w:numPr>
        <w:spacing w:after="240"/>
      </w:pPr>
      <w:r>
        <w:t>Borgeren inddrages aktivt i beslutningerne om sit eget liv.</w:t>
      </w:r>
    </w:p>
    <w:p w14:paraId="49A305E7" w14:textId="77777777" w:rsidR="009079D5" w:rsidRDefault="009079D5" w:rsidP="009079D5">
      <w:pPr>
        <w:pStyle w:val="Opstilling-punkttegn"/>
        <w:numPr>
          <w:ilvl w:val="1"/>
          <w:numId w:val="35"/>
        </w:numPr>
        <w:spacing w:after="240"/>
      </w:pPr>
      <w:r>
        <w:t>Der skal laves én handlingsplan på tværs af sektorer med et afgrænset antal målsætninger. Handlingsplanen skal laves i samarbejde med borgeren, hvilket forudsætter ordentlige rammer for sagsbehandlingen fx et passende sagstal og kompetence til at koordinere.</w:t>
      </w:r>
    </w:p>
    <w:p w14:paraId="0E2649A9" w14:textId="77777777" w:rsidR="009079D5" w:rsidRDefault="009079D5" w:rsidP="009079D5">
      <w:pPr>
        <w:pStyle w:val="Opstilling-punkttegn"/>
        <w:numPr>
          <w:ilvl w:val="1"/>
          <w:numId w:val="35"/>
        </w:numPr>
        <w:spacing w:after="240"/>
      </w:pPr>
      <w:r>
        <w:t>Hovedloven skal indeholde alle relevante indsatser, så sagsbehandler og borger i dialog kan sammensætte den helt rigtige indsats for borgeren. Det vil for mange betyde indsatser for flere sektorer.</w:t>
      </w:r>
    </w:p>
    <w:p w14:paraId="6DE48A98" w14:textId="77777777" w:rsidR="009079D5" w:rsidRDefault="009079D5" w:rsidP="009079D5">
      <w:pPr>
        <w:pStyle w:val="Opstilling-punkttegn"/>
        <w:numPr>
          <w:ilvl w:val="1"/>
          <w:numId w:val="35"/>
        </w:numPr>
        <w:spacing w:after="240"/>
      </w:pPr>
      <w:r>
        <w:t>Alle borgere med behov for en koordineret indsats, skal tilbydes en indsats efter hovedloven. Hvis kommunen ikke aktivt tilbyder borgeren en indsats efter hovedloven, skal borgeren selv kunne efterspørge det.</w:t>
      </w:r>
    </w:p>
    <w:p w14:paraId="73A5DDE1" w14:textId="77777777" w:rsidR="009079D5" w:rsidRDefault="009079D5" w:rsidP="009079D5">
      <w:pPr>
        <w:pStyle w:val="Opstilling-punkttegn"/>
        <w:numPr>
          <w:ilvl w:val="0"/>
          <w:numId w:val="32"/>
        </w:numPr>
        <w:spacing w:after="240"/>
      </w:pPr>
      <w:r>
        <w:t>Ankestyrelsen skal for afgørelser truffet under hovedloven få mulighed for ikke kun at prøve legaliteten i den samlede afgørelse, men også selve skønnet.</w:t>
      </w:r>
    </w:p>
    <w:p w14:paraId="3D3DF9E6" w14:textId="77777777" w:rsidR="009079D5" w:rsidRDefault="009079D5" w:rsidP="009079D5">
      <w:pPr>
        <w:pStyle w:val="Opstilling-punkttegn"/>
        <w:numPr>
          <w:ilvl w:val="0"/>
          <w:numId w:val="32"/>
        </w:numPr>
        <w:spacing w:after="240"/>
      </w:pPr>
      <w:r>
        <w:lastRenderedPageBreak/>
        <w:t>For at sikre at hovedloven får den ønskede effekt for borgerne, skal der etableres en solid og systematisk opfølgning på indsatsen med fokus på borgerens trivsel, opnåelse af borgerens mål og borgerens oplevelse af sammenhæng. Der skal fastlægges opkvalificering, pålæg og i sidste ende sanktioner for de kommuner, der ikke leverer.</w:t>
      </w:r>
    </w:p>
    <w:p w14:paraId="0DA8BB75" w14:textId="77777777" w:rsidR="009079D5" w:rsidRPr="00A44EE4" w:rsidRDefault="009079D5" w:rsidP="009079D5">
      <w:pPr>
        <w:pStyle w:val="Overskrift3"/>
        <w:rPr>
          <w:rStyle w:val="Underoverskrift"/>
          <w:b w:val="0"/>
        </w:rPr>
      </w:pPr>
      <w:bookmarkStart w:id="64" w:name="_Toc90284238"/>
      <w:bookmarkStart w:id="65" w:name="_Toc90291142"/>
      <w:bookmarkStart w:id="66" w:name="_Toc90291258"/>
      <w:bookmarkStart w:id="67" w:name="_Toc102388680"/>
      <w:r>
        <w:rPr>
          <w:rStyle w:val="Underoverskrift"/>
          <w:b w:val="0"/>
        </w:rPr>
        <w:t>12</w:t>
      </w:r>
      <w:r w:rsidRPr="00A44EE4">
        <w:rPr>
          <w:rStyle w:val="Underoverskrift"/>
          <w:b w:val="0"/>
        </w:rPr>
        <w:t>. Stærkere myndighedsansvar</w:t>
      </w:r>
      <w:bookmarkEnd w:id="64"/>
      <w:bookmarkEnd w:id="65"/>
      <w:bookmarkEnd w:id="66"/>
      <w:bookmarkEnd w:id="67"/>
    </w:p>
    <w:p w14:paraId="1D2C353F" w14:textId="77777777" w:rsidR="009079D5" w:rsidRPr="003768AB" w:rsidRDefault="009079D5" w:rsidP="009079D5">
      <w:pPr>
        <w:spacing w:after="240"/>
      </w:pPr>
      <w:r w:rsidRPr="003768AB">
        <w:t>Borger</w:t>
      </w:r>
      <w:r>
        <w:t>e</w:t>
      </w:r>
      <w:r w:rsidRPr="003768AB">
        <w:t xml:space="preserve"> og myndigheder oplever </w:t>
      </w:r>
      <w:r>
        <w:t xml:space="preserve">ofte </w:t>
      </w:r>
      <w:r w:rsidRPr="003768AB">
        <w:t xml:space="preserve">store problemer </w:t>
      </w:r>
      <w:r>
        <w:t>i overgangen og samarbejdet mellem forskellige sektorer og imellem forvaltninger i kommunen.</w:t>
      </w:r>
    </w:p>
    <w:p w14:paraId="44037F23" w14:textId="77777777" w:rsidR="009079D5" w:rsidRPr="00184679" w:rsidRDefault="009079D5" w:rsidP="009079D5">
      <w:pPr>
        <w:spacing w:after="240"/>
      </w:pPr>
      <w:r w:rsidRPr="00184679">
        <w:rPr>
          <w:b/>
        </w:rPr>
        <w:t>DH foreslår, at:</w:t>
      </w:r>
    </w:p>
    <w:p w14:paraId="553145F8" w14:textId="77777777" w:rsidR="009079D5" w:rsidRDefault="009079D5" w:rsidP="009079D5">
      <w:pPr>
        <w:pStyle w:val="Opstilling-punkttegn"/>
        <w:numPr>
          <w:ilvl w:val="0"/>
          <w:numId w:val="39"/>
        </w:numPr>
        <w:spacing w:after="240"/>
      </w:pPr>
      <w:r w:rsidRPr="00184679">
        <w:t xml:space="preserve">Der i serviceloven indføres et stærkere myndighedsansvar. Det betyder, at </w:t>
      </w:r>
      <w:r>
        <w:t>en myndighed (sektor eller kommunal forvaltning)</w:t>
      </w:r>
      <w:r w:rsidRPr="00184679">
        <w:t>, hvor borgeren henvender sig ikke kan ’slippe’ en borger, før myndigheden er sikker på, at opgaven løftes andet sted.</w:t>
      </w:r>
    </w:p>
    <w:p w14:paraId="5E561648" w14:textId="77777777" w:rsidR="009079D5" w:rsidRDefault="009079D5" w:rsidP="009079D5">
      <w:pPr>
        <w:pStyle w:val="Opstilling-punkttegn"/>
        <w:numPr>
          <w:ilvl w:val="0"/>
          <w:numId w:val="39"/>
        </w:numPr>
        <w:spacing w:after="240"/>
      </w:pPr>
      <w:r>
        <w:t xml:space="preserve">Er der flere sektorer og forvaltninger ind over, skal der udpeges en ansvarlig sagsbehandler i den ene </w:t>
      </w:r>
      <w:r w:rsidRPr="009E26EF">
        <w:t>myndighed, der har ansvar for samarbejdet og koordineringen.</w:t>
      </w:r>
      <w:r>
        <w:t xml:space="preserve"> </w:t>
      </w:r>
      <w:r w:rsidRPr="009E26EF">
        <w:t>Det skal fremgå af borger</w:t>
      </w:r>
      <w:r>
        <w:t>en</w:t>
      </w:r>
      <w:r w:rsidRPr="009E26EF">
        <w:t xml:space="preserve">s journal, hvem der er </w:t>
      </w:r>
      <w:r>
        <w:t>koordinerende sagsbehandler</w:t>
      </w:r>
      <w:r w:rsidRPr="009E26EF">
        <w:t>.</w:t>
      </w:r>
    </w:p>
    <w:p w14:paraId="27A1A42C" w14:textId="77777777" w:rsidR="009079D5" w:rsidRPr="009E26EF" w:rsidRDefault="009079D5" w:rsidP="009079D5">
      <w:pPr>
        <w:pStyle w:val="Opstilling-punkttegn"/>
        <w:numPr>
          <w:ilvl w:val="0"/>
          <w:numId w:val="39"/>
        </w:numPr>
      </w:pPr>
      <w:r w:rsidRPr="009E26EF">
        <w:t>Borger</w:t>
      </w:r>
      <w:r>
        <w:t>en</w:t>
      </w:r>
      <w:r w:rsidRPr="009E26EF">
        <w:t xml:space="preserve"> skal kunne klage over dårlig vejledning.</w:t>
      </w:r>
    </w:p>
    <w:p w14:paraId="7F23E18E" w14:textId="77777777" w:rsidR="009079D5" w:rsidRPr="00A44EE4" w:rsidRDefault="009079D5" w:rsidP="009079D5">
      <w:pPr>
        <w:pStyle w:val="Overskrift3"/>
        <w:rPr>
          <w:rStyle w:val="Underoverskrift"/>
          <w:b w:val="0"/>
        </w:rPr>
      </w:pPr>
      <w:bookmarkStart w:id="68" w:name="_Toc4159976"/>
      <w:bookmarkStart w:id="69" w:name="_Toc18407363"/>
      <w:bookmarkStart w:id="70" w:name="_Toc90284239"/>
      <w:bookmarkStart w:id="71" w:name="_Toc90291143"/>
      <w:bookmarkStart w:id="72" w:name="_Toc90291259"/>
      <w:bookmarkStart w:id="73" w:name="_Toc102388681"/>
      <w:r>
        <w:rPr>
          <w:rStyle w:val="Underoverskrift"/>
          <w:b w:val="0"/>
        </w:rPr>
        <w:t>13</w:t>
      </w:r>
      <w:r w:rsidRPr="00A44EE4">
        <w:rPr>
          <w:rStyle w:val="Underoverskrift"/>
          <w:b w:val="0"/>
        </w:rPr>
        <w:t>. Placering af sektoransvar</w:t>
      </w:r>
      <w:bookmarkEnd w:id="68"/>
      <w:bookmarkEnd w:id="69"/>
      <w:bookmarkEnd w:id="70"/>
      <w:bookmarkEnd w:id="71"/>
      <w:bookmarkEnd w:id="72"/>
      <w:bookmarkEnd w:id="73"/>
    </w:p>
    <w:p w14:paraId="1E90FFEC" w14:textId="77777777" w:rsidR="009079D5" w:rsidRDefault="009079D5" w:rsidP="009079D5">
      <w:pPr>
        <w:spacing w:after="240"/>
      </w:pPr>
      <w:r w:rsidRPr="003768AB">
        <w:t>Når forskellige sektorer er uenige om, hvem der skal betale for en ydelse</w:t>
      </w:r>
      <w:r>
        <w:t>,</w:t>
      </w:r>
      <w:r w:rsidRPr="003768AB">
        <w:t xml:space="preserve"> kommer borgeren i klemme</w:t>
      </w:r>
      <w:r>
        <w:t>. Det må ikke forsinke eller forringe borgerens hjælp.</w:t>
      </w:r>
    </w:p>
    <w:p w14:paraId="3BB6B39C" w14:textId="77777777" w:rsidR="009079D5" w:rsidRPr="00184679" w:rsidRDefault="009079D5" w:rsidP="009079D5">
      <w:pPr>
        <w:spacing w:after="240"/>
        <w:rPr>
          <w:b/>
        </w:rPr>
      </w:pPr>
      <w:r w:rsidRPr="00184679">
        <w:rPr>
          <w:b/>
        </w:rPr>
        <w:t>DH Foreslår, at:</w:t>
      </w:r>
    </w:p>
    <w:p w14:paraId="6B154E52" w14:textId="77777777" w:rsidR="009079D5" w:rsidRPr="00606B06" w:rsidRDefault="009079D5" w:rsidP="009079D5">
      <w:pPr>
        <w:pStyle w:val="Opstilling-punkttegn"/>
        <w:numPr>
          <w:ilvl w:val="0"/>
          <w:numId w:val="21"/>
        </w:numPr>
        <w:rPr>
          <w:b/>
        </w:rPr>
      </w:pPr>
      <w:r>
        <w:t xml:space="preserve">Ankestyrelsen </w:t>
      </w:r>
      <w:r w:rsidRPr="00184679">
        <w:t xml:space="preserve">skal have kompetence til at træffe afgørelse om, hvor en </w:t>
      </w:r>
      <w:r>
        <w:t>konkret ydelse</w:t>
      </w:r>
      <w:r w:rsidRPr="00184679">
        <w:t xml:space="preserve"> skal bevilliges, når forskellige sektorer ikke er enige om, hvem der skal løfte opgaven</w:t>
      </w:r>
      <w:r>
        <w:t>, ligesom det gældende for tvist mellem to kommuner</w:t>
      </w:r>
      <w:r w:rsidRPr="00184679">
        <w:t>.</w:t>
      </w:r>
      <w:r>
        <w:t xml:space="preserve"> </w:t>
      </w:r>
    </w:p>
    <w:p w14:paraId="2B6A9A26" w14:textId="77777777" w:rsidR="009079D5" w:rsidRPr="00184679" w:rsidRDefault="009079D5" w:rsidP="00C97A9B">
      <w:pPr>
        <w:pStyle w:val="Opstilling-punkttegn"/>
        <w:numPr>
          <w:ilvl w:val="0"/>
          <w:numId w:val="0"/>
        </w:numPr>
        <w:rPr>
          <w:b/>
        </w:rPr>
      </w:pPr>
    </w:p>
    <w:p w14:paraId="33A86F1C" w14:textId="77777777" w:rsidR="009079D5" w:rsidRPr="00F57C24" w:rsidRDefault="009079D5" w:rsidP="009079D5">
      <w:pPr>
        <w:pStyle w:val="Overskrift2"/>
      </w:pPr>
      <w:bookmarkStart w:id="74" w:name="_Toc90284240"/>
      <w:bookmarkStart w:id="75" w:name="_Toc90291144"/>
      <w:bookmarkStart w:id="76" w:name="_Toc90291260"/>
      <w:bookmarkStart w:id="77" w:name="_Toc102388682"/>
      <w:r w:rsidRPr="00F57C24">
        <w:t>Styrkede støttemuligheder til borgere, der ikke selv kan klage</w:t>
      </w:r>
      <w:bookmarkEnd w:id="74"/>
      <w:bookmarkEnd w:id="75"/>
      <w:bookmarkEnd w:id="76"/>
      <w:bookmarkEnd w:id="77"/>
    </w:p>
    <w:p w14:paraId="5FBB4DB3" w14:textId="77777777" w:rsidR="009079D5" w:rsidRPr="004577D4" w:rsidRDefault="009079D5" w:rsidP="009079D5">
      <w:pPr>
        <w:pStyle w:val="Overskrift3"/>
        <w:rPr>
          <w:rStyle w:val="Underoverskrift"/>
          <w:b w:val="0"/>
        </w:rPr>
      </w:pPr>
      <w:bookmarkStart w:id="78" w:name="_Toc90284241"/>
      <w:bookmarkStart w:id="79" w:name="_Toc90291145"/>
      <w:bookmarkStart w:id="80" w:name="_Toc90291261"/>
      <w:bookmarkStart w:id="81" w:name="_Toc102388683"/>
      <w:r>
        <w:rPr>
          <w:rStyle w:val="Underoverskrift"/>
          <w:b w:val="0"/>
        </w:rPr>
        <w:t>14</w:t>
      </w:r>
      <w:r w:rsidRPr="004577D4">
        <w:rPr>
          <w:rStyle w:val="Underoverskrift"/>
          <w:b w:val="0"/>
        </w:rPr>
        <w:t>. Støttemuligheder for borgere, der ikke selv kan klage</w:t>
      </w:r>
      <w:bookmarkEnd w:id="78"/>
      <w:bookmarkEnd w:id="79"/>
      <w:bookmarkEnd w:id="80"/>
      <w:bookmarkEnd w:id="81"/>
    </w:p>
    <w:p w14:paraId="2FA0C5A3" w14:textId="77777777" w:rsidR="009079D5" w:rsidRDefault="009079D5" w:rsidP="009079D5">
      <w:pPr>
        <w:spacing w:after="240"/>
        <w:rPr>
          <w:szCs w:val="26"/>
        </w:rPr>
      </w:pPr>
      <w:r w:rsidRPr="0064292E">
        <w:rPr>
          <w:szCs w:val="26"/>
        </w:rPr>
        <w:t>Der</w:t>
      </w:r>
      <w:r>
        <w:rPr>
          <w:szCs w:val="26"/>
        </w:rPr>
        <w:t xml:space="preserve"> er behov for at styrke retssikkerheden for de borgere, der ikke selv kan klage, og som ikke har et netværk, der kan hjælpe dem. Det kan bl.a. indebære en ændret værgemålslovgivning.</w:t>
      </w:r>
    </w:p>
    <w:p w14:paraId="45CAD07C" w14:textId="77777777" w:rsidR="009079D5" w:rsidRPr="0064292E" w:rsidRDefault="009079D5" w:rsidP="009079D5">
      <w:pPr>
        <w:spacing w:after="240"/>
        <w:rPr>
          <w:szCs w:val="26"/>
        </w:rPr>
      </w:pPr>
      <w:r>
        <w:rPr>
          <w:b/>
          <w:szCs w:val="26"/>
        </w:rPr>
        <w:t>DH foreslår</w:t>
      </w:r>
      <w:r w:rsidRPr="0064292E">
        <w:rPr>
          <w:b/>
          <w:szCs w:val="26"/>
        </w:rPr>
        <w:t>, at</w:t>
      </w:r>
      <w:r>
        <w:rPr>
          <w:szCs w:val="26"/>
        </w:rPr>
        <w:t>:</w:t>
      </w:r>
    </w:p>
    <w:p w14:paraId="10AD0FD3" w14:textId="77777777" w:rsidR="009079D5" w:rsidRDefault="009079D5" w:rsidP="009079D5">
      <w:pPr>
        <w:pStyle w:val="Opstilling-punkttegn"/>
        <w:numPr>
          <w:ilvl w:val="0"/>
          <w:numId w:val="22"/>
        </w:numPr>
        <w:spacing w:after="240"/>
      </w:pPr>
      <w:r w:rsidRPr="005035CA">
        <w:t>De</w:t>
      </w:r>
      <w:r>
        <w:t xml:space="preserve">t skal sikres, </w:t>
      </w:r>
      <w:r w:rsidRPr="005035CA">
        <w:t xml:space="preserve">at der ydes den rette kvalitet og specialisering i </w:t>
      </w:r>
      <w:r>
        <w:t>den indsats, der visiteres til. I visse sager skal der</w:t>
      </w:r>
      <w:r w:rsidRPr="005035CA">
        <w:t xml:space="preserve">, uanset om borgeren klager eller ej, </w:t>
      </w:r>
      <w:r>
        <w:t xml:space="preserve">automatisk inddrages en slags ’second opinion’ </w:t>
      </w:r>
      <w:r w:rsidRPr="005035CA">
        <w:t>en ’gatekeeper’ funktion hos en anden myndighed</w:t>
      </w:r>
      <w:r>
        <w:t xml:space="preserve"> for at sikre det rette match</w:t>
      </w:r>
      <w:r w:rsidRPr="005035CA">
        <w:t>.</w:t>
      </w:r>
    </w:p>
    <w:p w14:paraId="5A44BEE8" w14:textId="77777777" w:rsidR="009079D5" w:rsidRPr="0076480A" w:rsidRDefault="009079D5" w:rsidP="009079D5">
      <w:pPr>
        <w:pStyle w:val="Opstilling-punkttegn"/>
        <w:numPr>
          <w:ilvl w:val="0"/>
          <w:numId w:val="22"/>
        </w:numPr>
        <w:spacing w:after="240"/>
      </w:pPr>
      <w:r>
        <w:t>Der indføres som i Sverige et personligt ombud for borgere, der har svært ved at varetage egne rettigheder og interesser. Ordningen giver borgere ret til en professionel, uvildig aktør, der kan støtte den enkelte i at få over</w:t>
      </w:r>
      <w:r>
        <w:lastRenderedPageBreak/>
        <w:t>blik over egne hjælpebehov, samt at få den rette hjælp fra systemet. Udmøntning kan bl.a. føre til en ændring i værgemålsloven.</w:t>
      </w:r>
    </w:p>
    <w:p w14:paraId="1A5CBF66" w14:textId="77777777" w:rsidR="009079D5" w:rsidRPr="00B87D1D" w:rsidRDefault="009079D5" w:rsidP="009079D5">
      <w:pPr>
        <w:pStyle w:val="Opstilling-punkttegn"/>
        <w:numPr>
          <w:ilvl w:val="0"/>
          <w:numId w:val="22"/>
        </w:numPr>
        <w:spacing w:after="240"/>
      </w:pPr>
      <w:r>
        <w:rPr>
          <w:bCs/>
        </w:rPr>
        <w:t>Der stilles k</w:t>
      </w:r>
      <w:r w:rsidRPr="0064292E">
        <w:rPr>
          <w:bCs/>
        </w:rPr>
        <w:t>rav i værgemålsloven om</w:t>
      </w:r>
      <w:r>
        <w:rPr>
          <w:bCs/>
        </w:rPr>
        <w:t>,</w:t>
      </w:r>
      <w:r w:rsidRPr="0064292E">
        <w:rPr>
          <w:bCs/>
        </w:rPr>
        <w:t xml:space="preserve"> at værger har pligt til at følge op på sociale afgørelser</w:t>
      </w:r>
      <w:r w:rsidRPr="0064292E">
        <w:t>.</w:t>
      </w:r>
      <w:r>
        <w:t xml:space="preserve"> I den gældende </w:t>
      </w:r>
      <w:r w:rsidRPr="00B87D1D">
        <w:t>værgemålslovgivning har værgen mulighed for, men ikke pligt til, at bistå med en klage over fx en kommunal afgørelse på socialområdet. Denne mulighed benyttes i begrænset omfang af professionelle værger. Værgen skal yderligere have pligt til løbende at indhente den nødvendige information om borgerens situation og behov således, at værgen kan vurdere, om der skal ansøges om anden/yderligere hjælp.</w:t>
      </w:r>
    </w:p>
    <w:p w14:paraId="73275BDB" w14:textId="77777777" w:rsidR="009079D5" w:rsidRPr="00B87D1D" w:rsidRDefault="009079D5" w:rsidP="009079D5">
      <w:pPr>
        <w:pStyle w:val="Opstilling-punkttegn"/>
        <w:numPr>
          <w:ilvl w:val="0"/>
          <w:numId w:val="22"/>
        </w:numPr>
        <w:spacing w:after="240"/>
      </w:pPr>
      <w:r w:rsidRPr="00B87D1D">
        <w:t>Der stilles krav om, at kommunerne udarbejder en handlingsplan eller politik for, hvordan borgere, der ikke er i stand til at klage, kan få hjælp til det.</w:t>
      </w:r>
    </w:p>
    <w:p w14:paraId="47FBDC6A" w14:textId="77777777" w:rsidR="009079D5" w:rsidRDefault="009079D5" w:rsidP="009079D5">
      <w:pPr>
        <w:pStyle w:val="Opstilling-punkttegn"/>
        <w:numPr>
          <w:ilvl w:val="0"/>
          <w:numId w:val="22"/>
        </w:numPr>
        <w:spacing w:after="240"/>
      </w:pPr>
      <w:r>
        <w:t>Det skal pålægges kommunen at oprette instanser, hvor borgere kan få hjælp til at klage. Det kan fx være en borgerrådgiver eller mulighed for hjælp til at klage på væresteder el.lign.</w:t>
      </w:r>
    </w:p>
    <w:p w14:paraId="2443B217" w14:textId="77777777" w:rsidR="009079D5" w:rsidRDefault="009079D5" w:rsidP="009079D5">
      <w:pPr>
        <w:pStyle w:val="Opstilling-punkttegn"/>
        <w:numPr>
          <w:ilvl w:val="0"/>
          <w:numId w:val="22"/>
        </w:numPr>
        <w:spacing w:after="240"/>
      </w:pPr>
      <w:r>
        <w:t>Socialtilsynet skal forpligtes til at vurdere den retssikkerhedsmæssige situation for beboere i de tilbud, de fører tilsyn med. Socialtilsynet skal kunne pålægge et tilbud at bistå borgerne med at klage over en kommunal afgørelse.</w:t>
      </w:r>
    </w:p>
    <w:p w14:paraId="5413DF31" w14:textId="77777777" w:rsidR="009079D5" w:rsidRPr="004577D4" w:rsidRDefault="009079D5" w:rsidP="009079D5">
      <w:pPr>
        <w:pStyle w:val="Overskrift2"/>
        <w:rPr>
          <w:b w:val="0"/>
        </w:rPr>
      </w:pPr>
      <w:bookmarkStart w:id="82" w:name="_Toc90284242"/>
      <w:bookmarkStart w:id="83" w:name="_Toc90291146"/>
      <w:bookmarkStart w:id="84" w:name="_Toc90291262"/>
      <w:bookmarkStart w:id="85" w:name="_Toc102388684"/>
      <w:r w:rsidRPr="004577D4">
        <w:rPr>
          <w:b w:val="0"/>
        </w:rPr>
        <w:t>Kvalificering af ekstern kontrol og ankesystem</w:t>
      </w:r>
      <w:bookmarkEnd w:id="82"/>
      <w:bookmarkEnd w:id="83"/>
      <w:bookmarkEnd w:id="84"/>
      <w:bookmarkEnd w:id="85"/>
    </w:p>
    <w:p w14:paraId="1966358B" w14:textId="77777777" w:rsidR="009079D5" w:rsidRPr="004577D4" w:rsidRDefault="009079D5" w:rsidP="009079D5">
      <w:pPr>
        <w:pStyle w:val="Overskrift3"/>
        <w:rPr>
          <w:rStyle w:val="Underoverskrift"/>
          <w:b w:val="0"/>
        </w:rPr>
      </w:pPr>
      <w:bookmarkStart w:id="86" w:name="_Toc90284243"/>
      <w:bookmarkStart w:id="87" w:name="_Toc90291147"/>
      <w:bookmarkStart w:id="88" w:name="_Toc90291263"/>
      <w:bookmarkStart w:id="89" w:name="_Toc102388685"/>
      <w:r w:rsidRPr="004577D4">
        <w:rPr>
          <w:rStyle w:val="Underoverskrift"/>
          <w:b w:val="0"/>
        </w:rPr>
        <w:t>1</w:t>
      </w:r>
      <w:r>
        <w:rPr>
          <w:rStyle w:val="Underoverskrift"/>
          <w:b w:val="0"/>
        </w:rPr>
        <w:t>5</w:t>
      </w:r>
      <w:r w:rsidRPr="004577D4">
        <w:rPr>
          <w:rStyle w:val="Underoverskrift"/>
          <w:b w:val="0"/>
        </w:rPr>
        <w:t>. Det Kommunale Tilsyns rolle skal være pro-aktivt</w:t>
      </w:r>
      <w:bookmarkEnd w:id="86"/>
      <w:bookmarkEnd w:id="87"/>
      <w:bookmarkEnd w:id="88"/>
      <w:bookmarkEnd w:id="89"/>
      <w:r w:rsidRPr="004577D4">
        <w:rPr>
          <w:rStyle w:val="Underoverskrift"/>
          <w:b w:val="0"/>
        </w:rPr>
        <w:t xml:space="preserve">  </w:t>
      </w:r>
    </w:p>
    <w:p w14:paraId="0120C7B4" w14:textId="77777777" w:rsidR="009079D5" w:rsidRPr="00423285" w:rsidRDefault="009079D5" w:rsidP="009079D5">
      <w:pPr>
        <w:spacing w:after="240"/>
      </w:pPr>
      <w:r>
        <w:t xml:space="preserve">Det Kommunale Tilsyn skal være mere proaktivt og </w:t>
      </w:r>
      <w:r w:rsidRPr="00423285">
        <w:t>opsøgende, Ankestyrelsen skal forpligtes til at orientere Tilsynet, hvis en kommune har en høj omgørelsesprocent, hvorefter Tilsynet går aktivt ind i sagen og iværksætter passende tiltag</w:t>
      </w:r>
      <w:r>
        <w:t>, og Tilsynet skal have til opgave at vurdere, om kommunens kvalitetsstandarder benyttes som maksimalt serviceniveau frem for vejledende.</w:t>
      </w:r>
      <w:r w:rsidRPr="00423285">
        <w:t xml:space="preserve"> Det vil bidrage til at </w:t>
      </w:r>
      <w:r>
        <w:t>styrke</w:t>
      </w:r>
      <w:r w:rsidRPr="00423285">
        <w:t xml:space="preserve"> retssikkerhed</w:t>
      </w:r>
      <w:r>
        <w:t xml:space="preserve">en - også </w:t>
      </w:r>
      <w:r w:rsidRPr="00423285">
        <w:t>for dem, som ikke selv klager til Ankestyrelsen.</w:t>
      </w:r>
    </w:p>
    <w:p w14:paraId="6199EC53" w14:textId="77777777" w:rsidR="009079D5" w:rsidRPr="00423285" w:rsidRDefault="009079D5" w:rsidP="009079D5">
      <w:pPr>
        <w:spacing w:after="240"/>
      </w:pPr>
      <w:r w:rsidRPr="00423285">
        <w:rPr>
          <w:b/>
          <w:bCs/>
        </w:rPr>
        <w:t>DH foreslår, at</w:t>
      </w:r>
      <w:r w:rsidRPr="00423285">
        <w:t>:</w:t>
      </w:r>
    </w:p>
    <w:p w14:paraId="690C253C" w14:textId="77777777" w:rsidR="009079D5" w:rsidRPr="00584D74" w:rsidRDefault="009079D5" w:rsidP="009079D5">
      <w:pPr>
        <w:pStyle w:val="Opstilling-punkttegn"/>
        <w:numPr>
          <w:ilvl w:val="0"/>
          <w:numId w:val="23"/>
        </w:numPr>
        <w:spacing w:after="240"/>
        <w:rPr>
          <w:rFonts w:asciiTheme="minorHAnsi" w:hAnsiTheme="minorHAnsi" w:cstheme="minorHAnsi"/>
        </w:rPr>
      </w:pPr>
      <w:r w:rsidRPr="00423285">
        <w:rPr>
          <w:rFonts w:asciiTheme="minorHAnsi" w:hAnsiTheme="minorHAnsi" w:cstheme="minorHAnsi"/>
        </w:rPr>
        <w:t xml:space="preserve">Kommuner med de højeste omgørelsesprocenter, og kommuner, der ikke overholder nationalt fastsatte </w:t>
      </w:r>
      <w:r w:rsidRPr="00584D74">
        <w:rPr>
          <w:rFonts w:asciiTheme="minorHAnsi" w:hAnsiTheme="minorHAnsi" w:cstheme="minorHAnsi"/>
        </w:rPr>
        <w:t>sagsbehandlingstider, skal automatisk undersøges af tilsynet. Det kan fx være den decil af kommunerne, der har de højeste omgørelsesprocenter og den decil af kommunerne, der ikke overholder de nationale sagsbehandlingsfrister for 90 % af sagerne.</w:t>
      </w:r>
      <w:r w:rsidRPr="00584D74">
        <w:t xml:space="preserve"> </w:t>
      </w:r>
      <w:r w:rsidRPr="00584D74">
        <w:rPr>
          <w:rFonts w:asciiTheme="minorHAnsi" w:hAnsiTheme="minorHAnsi" w:cstheme="minorHAnsi"/>
        </w:rPr>
        <w:t>Tilsynet skal fx kunne pålægge den pågældende kommune et forløb med Handicap Taskforcen.</w:t>
      </w:r>
    </w:p>
    <w:p w14:paraId="11FD687C" w14:textId="77777777" w:rsidR="009079D5" w:rsidRPr="00584D74" w:rsidRDefault="009079D5" w:rsidP="009079D5">
      <w:pPr>
        <w:pStyle w:val="Opstilling-punkttegn"/>
        <w:numPr>
          <w:ilvl w:val="0"/>
          <w:numId w:val="23"/>
        </w:numPr>
        <w:spacing w:after="240"/>
      </w:pPr>
      <w:r w:rsidRPr="00584D74">
        <w:t xml:space="preserve">Der skal være en fastsat sagsbehandlingstid for det Kommunale Tilsyn på fx max seks måneder ved klager til </w:t>
      </w:r>
      <w:r>
        <w:t>T</w:t>
      </w:r>
      <w:r w:rsidRPr="00584D74">
        <w:t>ilsynet. Kommuners svar på klager til Tilsynet skal altid undersøges og inddrages i sagsbehandlingen.</w:t>
      </w:r>
    </w:p>
    <w:p w14:paraId="419E0FEC" w14:textId="77777777" w:rsidR="009079D5" w:rsidRPr="004577D4" w:rsidRDefault="009079D5" w:rsidP="009079D5">
      <w:pPr>
        <w:pStyle w:val="Overskrift3"/>
        <w:rPr>
          <w:rStyle w:val="Underoverskrift"/>
          <w:b w:val="0"/>
        </w:rPr>
      </w:pPr>
      <w:bookmarkStart w:id="90" w:name="_Toc90284245"/>
      <w:bookmarkStart w:id="91" w:name="_Toc90291149"/>
      <w:bookmarkStart w:id="92" w:name="_Toc90291264"/>
      <w:bookmarkStart w:id="93" w:name="_Toc102388686"/>
      <w:r>
        <w:rPr>
          <w:rStyle w:val="Underoverskrift"/>
          <w:b w:val="0"/>
        </w:rPr>
        <w:t>16</w:t>
      </w:r>
      <w:r w:rsidRPr="004577D4">
        <w:rPr>
          <w:rStyle w:val="Underoverskrift"/>
          <w:b w:val="0"/>
        </w:rPr>
        <w:t>. Tidsfrister og krav til Ankestyrelsens afgørelser og kommunernes efterlevelse af afgørelserne</w:t>
      </w:r>
      <w:bookmarkEnd w:id="90"/>
      <w:bookmarkEnd w:id="91"/>
      <w:bookmarkEnd w:id="92"/>
      <w:bookmarkEnd w:id="93"/>
    </w:p>
    <w:p w14:paraId="67D5B762" w14:textId="77777777" w:rsidR="009079D5" w:rsidRDefault="009079D5" w:rsidP="009079D5">
      <w:pPr>
        <w:spacing w:after="240"/>
        <w:rPr>
          <w:szCs w:val="26"/>
        </w:rPr>
      </w:pPr>
      <w:r w:rsidRPr="002E40C1">
        <w:t>Der er generel lang sagsbehandlingstid i Ankestyrelsen. En lang sagsbehandlingstid betyder, at den periode man er uden den hjælp, man har klaget over, forlænges.</w:t>
      </w:r>
    </w:p>
    <w:p w14:paraId="0CE924F7" w14:textId="4E2976A3" w:rsidR="009079D5" w:rsidRDefault="009079D5" w:rsidP="009079D5">
      <w:pPr>
        <w:spacing w:after="240"/>
        <w:rPr>
          <w:szCs w:val="26"/>
        </w:rPr>
      </w:pPr>
      <w:r w:rsidRPr="00C10881">
        <w:rPr>
          <w:szCs w:val="26"/>
        </w:rPr>
        <w:t xml:space="preserve">Der </w:t>
      </w:r>
      <w:r>
        <w:rPr>
          <w:szCs w:val="26"/>
        </w:rPr>
        <w:t>kan ofte gå adskillige måneder, før en kommune handler på en hjemvisning eller omgørelse af en sag. Det betyder, at selvom kommunens afgørelse enten er hjemvist eller omgjort, må borgeren vente længe på, at fejlene bliver rettet op. Der er behov for, at der kommer tidsfrister for, hvor længe en sag kan ’køre rundt i systemet’.</w:t>
      </w:r>
    </w:p>
    <w:p w14:paraId="27B9213C" w14:textId="77777777" w:rsidR="00C97A9B" w:rsidRDefault="00C97A9B" w:rsidP="009079D5">
      <w:pPr>
        <w:spacing w:after="240"/>
        <w:rPr>
          <w:szCs w:val="26"/>
        </w:rPr>
      </w:pPr>
    </w:p>
    <w:p w14:paraId="673BBC98" w14:textId="77777777" w:rsidR="009079D5" w:rsidRDefault="009079D5" w:rsidP="009079D5">
      <w:pPr>
        <w:spacing w:after="240"/>
      </w:pPr>
      <w:r w:rsidRPr="00C10881">
        <w:rPr>
          <w:b/>
        </w:rPr>
        <w:lastRenderedPageBreak/>
        <w:t>DH foreslår, at</w:t>
      </w:r>
      <w:r>
        <w:t>:</w:t>
      </w:r>
    </w:p>
    <w:p w14:paraId="79BEFB24" w14:textId="77777777" w:rsidR="009079D5" w:rsidRPr="002E40C1" w:rsidRDefault="009079D5" w:rsidP="00CA4D3E">
      <w:pPr>
        <w:pStyle w:val="Opstilling-punkttegn"/>
        <w:numPr>
          <w:ilvl w:val="0"/>
          <w:numId w:val="43"/>
        </w:numPr>
      </w:pPr>
      <w:r w:rsidRPr="002E40C1">
        <w:t>Ankestyrelsen sagsbehandlingstide</w:t>
      </w:r>
      <w:r>
        <w:t xml:space="preserve">r skal nedsættes til </w:t>
      </w:r>
      <w:r w:rsidRPr="002E40C1">
        <w:t xml:space="preserve">max otte uger </w:t>
      </w:r>
      <w:r>
        <w:t xml:space="preserve">for alle ydelser </w:t>
      </w:r>
      <w:r w:rsidRPr="002E40C1">
        <w:t xml:space="preserve">og </w:t>
      </w:r>
      <w:r>
        <w:t xml:space="preserve">samtidig </w:t>
      </w:r>
      <w:r w:rsidRPr="002E40C1">
        <w:t>sikre kvaliteten af afgørelserne.</w:t>
      </w:r>
      <w:r w:rsidRPr="002E40C1">
        <w:rPr>
          <w:rFonts w:ascii="Calibri" w:hAnsi="Calibri" w:cs="Calibri"/>
          <w:sz w:val="24"/>
          <w:szCs w:val="24"/>
        </w:rPr>
        <w:t xml:space="preserve"> </w:t>
      </w:r>
    </w:p>
    <w:p w14:paraId="2EB591CF" w14:textId="77777777" w:rsidR="009079D5" w:rsidRDefault="009079D5" w:rsidP="009079D5"/>
    <w:p w14:paraId="06A78440" w14:textId="77777777" w:rsidR="009079D5" w:rsidRDefault="009079D5" w:rsidP="00CA4D3E">
      <w:pPr>
        <w:pStyle w:val="Opstilling-punkttegn"/>
        <w:numPr>
          <w:ilvl w:val="0"/>
          <w:numId w:val="43"/>
        </w:numPr>
        <w:spacing w:after="240"/>
      </w:pPr>
      <w:r>
        <w:t xml:space="preserve">Ankestyrelsen skal sætte en frist for, hvor lang tid en kommune må være om at agere på Ankestyrelsens afgørelse, både hjemviste og omgjorte afgørelser. </w:t>
      </w:r>
    </w:p>
    <w:p w14:paraId="63893AC1" w14:textId="77777777" w:rsidR="009079D5" w:rsidRDefault="009079D5" w:rsidP="00CA4D3E">
      <w:pPr>
        <w:pStyle w:val="Opstilling-punkttegn"/>
        <w:numPr>
          <w:ilvl w:val="0"/>
          <w:numId w:val="43"/>
        </w:numPr>
        <w:spacing w:after="240"/>
      </w:pPr>
      <w:r>
        <w:t>Kommunen skal have pligt til at orientere Ankestyrelsen om, hvad kommunen har foretaget på baggrund af afgørelsen.</w:t>
      </w:r>
    </w:p>
    <w:p w14:paraId="229FDE19" w14:textId="77777777" w:rsidR="009079D5" w:rsidRDefault="009079D5" w:rsidP="00CA4D3E">
      <w:pPr>
        <w:pStyle w:val="Opstilling-punkttegn"/>
        <w:numPr>
          <w:ilvl w:val="0"/>
          <w:numId w:val="43"/>
        </w:numPr>
        <w:spacing w:after="240"/>
      </w:pPr>
      <w:r w:rsidRPr="00AC2C7F">
        <w:t xml:space="preserve">Såfremt kommunens tilbagemelding ikke er tilfredsstillende, </w:t>
      </w:r>
      <w:r>
        <w:t xml:space="preserve">skal </w:t>
      </w:r>
      <w:r w:rsidRPr="00AC2C7F">
        <w:t>Ankestyrelsen oversende sagen til Tilsynet.</w:t>
      </w:r>
    </w:p>
    <w:p w14:paraId="6A1832B5" w14:textId="77777777" w:rsidR="009079D5" w:rsidRDefault="009079D5" w:rsidP="00CA4D3E">
      <w:pPr>
        <w:pStyle w:val="Opstilling-punkttegn"/>
        <w:numPr>
          <w:ilvl w:val="0"/>
          <w:numId w:val="43"/>
        </w:numPr>
        <w:spacing w:after="240"/>
      </w:pPr>
      <w:r>
        <w:t>Ankestyrelsens afgørelser om</w:t>
      </w:r>
      <w:r w:rsidRPr="005D69DB">
        <w:t xml:space="preserve"> hjemvisninger</w:t>
      </w:r>
      <w:r>
        <w:t>, opstiller i</w:t>
      </w:r>
      <w:r w:rsidRPr="005D69DB">
        <w:t xml:space="preserve"> punktform</w:t>
      </w:r>
      <w:r>
        <w:t xml:space="preserve"> de præcise sagsbehandlingsskridt som kommunen skal tage for at sagen kan vurderes</w:t>
      </w:r>
      <w:r w:rsidRPr="005D69DB">
        <w:t>, så både myndighed og borger præcis ved, hvad der skal ske.</w:t>
      </w:r>
    </w:p>
    <w:p w14:paraId="3D5E2A7D" w14:textId="77777777" w:rsidR="009079D5" w:rsidRPr="004577D4" w:rsidRDefault="009079D5" w:rsidP="009079D5">
      <w:pPr>
        <w:pStyle w:val="Overskrift3"/>
        <w:rPr>
          <w:rStyle w:val="Underoverskrift"/>
          <w:b w:val="0"/>
        </w:rPr>
      </w:pPr>
      <w:bookmarkStart w:id="94" w:name="_Toc102388687"/>
      <w:bookmarkStart w:id="95" w:name="_Toc90284250"/>
      <w:bookmarkStart w:id="96" w:name="_Toc90291154"/>
      <w:bookmarkStart w:id="97" w:name="_Toc90291269"/>
      <w:r w:rsidRPr="004577D4">
        <w:rPr>
          <w:rStyle w:val="Underoverskrift"/>
          <w:b w:val="0"/>
        </w:rPr>
        <w:t>1</w:t>
      </w:r>
      <w:r>
        <w:rPr>
          <w:rStyle w:val="Underoverskrift"/>
          <w:b w:val="0"/>
        </w:rPr>
        <w:t>7. Opsættende virkning i klagesager om naturalieydelser</w:t>
      </w:r>
      <w:bookmarkEnd w:id="94"/>
    </w:p>
    <w:p w14:paraId="6090C3FE" w14:textId="77777777" w:rsidR="009079D5" w:rsidRDefault="009079D5" w:rsidP="00C97A9B">
      <w:pPr>
        <w:pStyle w:val="Opstilling-punkttegn"/>
        <w:numPr>
          <w:ilvl w:val="0"/>
          <w:numId w:val="0"/>
        </w:numPr>
        <w:spacing w:after="240"/>
      </w:pPr>
      <w:r>
        <w:t>Der er behov for at mindske kommunernes økonomiske incitament til grænsesøgende afgørelser. Modsat kontante ydelser får borgeren ved naturalieydelser som fx ledsagelse, socialpædagogisk støtte, aktivitets- og samværstilbud, BPA mv. ikke kompensation med tilbagevirkende kraft fra ansøgningstidspunktet eller ændringstidspunktet, hvis de får medhold i en klagesag. I stedet får kommunen den fulde besparelse ved uberettiget frakendelse eller markant nedskæring i hjælpen.</w:t>
      </w:r>
    </w:p>
    <w:p w14:paraId="2CBBC529" w14:textId="77777777" w:rsidR="009079D5" w:rsidRPr="005035CA" w:rsidRDefault="009079D5" w:rsidP="009079D5">
      <w:pPr>
        <w:spacing w:after="240"/>
        <w:rPr>
          <w:b/>
        </w:rPr>
      </w:pPr>
      <w:r w:rsidRPr="005035CA">
        <w:rPr>
          <w:b/>
        </w:rPr>
        <w:t>DH foreslår</w:t>
      </w:r>
      <w:r>
        <w:rPr>
          <w:b/>
        </w:rPr>
        <w:t>, at</w:t>
      </w:r>
      <w:r w:rsidRPr="005035CA">
        <w:rPr>
          <w:b/>
        </w:rPr>
        <w:t>:</w:t>
      </w:r>
    </w:p>
    <w:p w14:paraId="3A878039" w14:textId="77777777" w:rsidR="009079D5" w:rsidRDefault="009079D5" w:rsidP="009079D5">
      <w:pPr>
        <w:pStyle w:val="Opstilling-punkttegn"/>
        <w:numPr>
          <w:ilvl w:val="0"/>
          <w:numId w:val="40"/>
        </w:numPr>
        <w:spacing w:after="240"/>
      </w:pPr>
      <w:r>
        <w:t>Der skal indføres opsættende virkning, hvis en borger skæres væsentligt i eller fratages en naturalieydelse, da borgerens liv i en længere periode påvirkes voldsomt, mens man venter på en afgørelse. Opsættende virkning vil sikre, at borgeren ikke står uden hjælp i ankeperioden eller med en markant reduceret hjælp.</w:t>
      </w:r>
    </w:p>
    <w:p w14:paraId="7B4EEBBC" w14:textId="1D253CF1" w:rsidR="009079D5" w:rsidRPr="004577D4" w:rsidRDefault="009079D5" w:rsidP="009079D5">
      <w:pPr>
        <w:pStyle w:val="Overskrift3"/>
        <w:rPr>
          <w:rStyle w:val="Underoverskrift"/>
          <w:b w:val="0"/>
        </w:rPr>
      </w:pPr>
      <w:bookmarkStart w:id="98" w:name="_Toc102388688"/>
      <w:r>
        <w:rPr>
          <w:rStyle w:val="Underoverskrift"/>
          <w:b w:val="0"/>
        </w:rPr>
        <w:t>18</w:t>
      </w:r>
      <w:r w:rsidRPr="004577D4">
        <w:rPr>
          <w:rStyle w:val="Underoverskrift"/>
          <w:b w:val="0"/>
        </w:rPr>
        <w:t xml:space="preserve">. </w:t>
      </w:r>
      <w:r w:rsidR="005E1A33">
        <w:rPr>
          <w:rStyle w:val="Underoverskrift"/>
          <w:b w:val="0"/>
        </w:rPr>
        <w:t>Model for ophør af kommuners grænsesøgende afgørelser</w:t>
      </w:r>
      <w:bookmarkEnd w:id="95"/>
      <w:bookmarkEnd w:id="96"/>
      <w:bookmarkEnd w:id="97"/>
      <w:bookmarkEnd w:id="98"/>
    </w:p>
    <w:p w14:paraId="1DB6941E" w14:textId="305D47D2" w:rsidR="009079D5" w:rsidRDefault="005C1D7B" w:rsidP="009079D5">
      <w:pPr>
        <w:spacing w:after="240"/>
      </w:pPr>
      <w:r>
        <w:t>Med den nuværende lovgivning og retspraksis kan kommunerne spare penge ved at træffe en åbenlys retsstridig</w:t>
      </w:r>
      <w:r w:rsidR="005E1A33">
        <w:t>e</w:t>
      </w:r>
      <w:r>
        <w:t xml:space="preserve"> afgørelse</w:t>
      </w:r>
      <w:r w:rsidR="005E1A33">
        <w:t>r ved</w:t>
      </w:r>
      <w:r>
        <w:t xml:space="preserve"> afslag eller fratagelse af hjælp af ikke-økonomisk.</w:t>
      </w:r>
      <w:r w:rsidR="008E261D">
        <w:t xml:space="preserve"> Det kan medføre</w:t>
      </w:r>
      <w:r w:rsidR="005E1A33">
        <w:t xml:space="preserve"> betydelig</w:t>
      </w:r>
      <w:r w:rsidR="008E261D">
        <w:t xml:space="preserve"> forringet livskvalitet for borgeren særligt i sager</w:t>
      </w:r>
      <w:r w:rsidR="00CA4D3E">
        <w:t xml:space="preserve">, der trækker i langdrag. </w:t>
      </w:r>
      <w:r w:rsidR="009079D5">
        <w:t>Der er behov for, at borgere, der får afslag eller fratages berettiget hjælp af ikke-økonomisk karakter, ligestilles med borgere, der får afslag eller fratages berettiget økonomisk hjælp, når det drejer sig om erstatning af tabet. De afsavn og tab, som borgerne lider ved tab af ikke-økonomisk karakter, er lige så indskrænkende som økonomiske tab.</w:t>
      </w:r>
    </w:p>
    <w:p w14:paraId="005D1074" w14:textId="77777777" w:rsidR="009079D5" w:rsidRPr="00563197" w:rsidRDefault="009079D5" w:rsidP="009079D5">
      <w:pPr>
        <w:spacing w:after="240"/>
        <w:rPr>
          <w:b/>
        </w:rPr>
      </w:pPr>
      <w:r w:rsidRPr="00563197">
        <w:rPr>
          <w:b/>
        </w:rPr>
        <w:t>DH foreslår, at:</w:t>
      </w:r>
    </w:p>
    <w:p w14:paraId="0D4CE58B" w14:textId="2BCC3BA5" w:rsidR="009079D5" w:rsidRDefault="009079D5" w:rsidP="00C754B6">
      <w:pPr>
        <w:pStyle w:val="Opstilling-punkttegn"/>
        <w:numPr>
          <w:ilvl w:val="0"/>
          <w:numId w:val="30"/>
        </w:numPr>
        <w:spacing w:after="240"/>
      </w:pPr>
      <w:r w:rsidRPr="0040117B">
        <w:t xml:space="preserve">Der skal arbejdes </w:t>
      </w:r>
      <w:r w:rsidR="005E1A33">
        <w:t>for</w:t>
      </w:r>
      <w:r w:rsidRPr="0040117B">
        <w:t xml:space="preserve"> en model for, hvordan</w:t>
      </w:r>
      <w:r w:rsidR="00A1100F">
        <w:t xml:space="preserve"> kommunernes økonomiske incitament til at træffe grænsesøgende afgørelser og trække sager i langdrag fjernes, og borger</w:t>
      </w:r>
      <w:r w:rsidRPr="0040117B">
        <w:t xml:space="preserve">e kan kompenseres for tab af ikke-økonomisk karakter på lige fod med økonomisk tab, når borgerne vinder en klagesag om en søgt ydelse. </w:t>
      </w:r>
    </w:p>
    <w:p w14:paraId="5A0ED033" w14:textId="77777777" w:rsidR="009079D5" w:rsidRPr="004577D4" w:rsidRDefault="009079D5" w:rsidP="009079D5">
      <w:pPr>
        <w:pStyle w:val="Overskrift3"/>
        <w:rPr>
          <w:rStyle w:val="Underoverskrift"/>
          <w:b w:val="0"/>
        </w:rPr>
      </w:pPr>
      <w:bookmarkStart w:id="99" w:name="_Toc90284246"/>
      <w:bookmarkStart w:id="100" w:name="_Toc90291150"/>
      <w:bookmarkStart w:id="101" w:name="_Toc90291265"/>
      <w:bookmarkStart w:id="102" w:name="_Toc102388689"/>
      <w:r w:rsidRPr="004577D4">
        <w:rPr>
          <w:rStyle w:val="Underoverskrift"/>
          <w:b w:val="0"/>
        </w:rPr>
        <w:t>1</w:t>
      </w:r>
      <w:r>
        <w:rPr>
          <w:rStyle w:val="Underoverskrift"/>
          <w:b w:val="0"/>
        </w:rPr>
        <w:t>9</w:t>
      </w:r>
      <w:r w:rsidRPr="004577D4">
        <w:rPr>
          <w:rStyle w:val="Underoverskrift"/>
          <w:b w:val="0"/>
        </w:rPr>
        <w:t>. Ankestyrelsens prøvelsesret skal styrkes</w:t>
      </w:r>
      <w:bookmarkEnd w:id="99"/>
      <w:bookmarkEnd w:id="100"/>
      <w:bookmarkEnd w:id="101"/>
      <w:bookmarkEnd w:id="102"/>
    </w:p>
    <w:p w14:paraId="0556206B" w14:textId="77777777" w:rsidR="009079D5" w:rsidRDefault="009079D5" w:rsidP="009079D5">
      <w:pPr>
        <w:spacing w:after="240"/>
      </w:pPr>
      <w:r w:rsidRPr="00D25067">
        <w:t>Ankestyrelsen</w:t>
      </w:r>
      <w:r>
        <w:t xml:space="preserve">s mandat skal styrkes ved, at styrelsen kan prøve </w:t>
      </w:r>
      <w:r w:rsidRPr="00D25067">
        <w:t>det kommunale</w:t>
      </w:r>
      <w:r>
        <w:t xml:space="preserve"> skøn, herunder vurdere om afgørelser lever op til lovens intentioner.</w:t>
      </w:r>
    </w:p>
    <w:p w14:paraId="542662A4" w14:textId="77777777" w:rsidR="009079D5" w:rsidRDefault="009079D5" w:rsidP="009079D5">
      <w:pPr>
        <w:spacing w:after="240"/>
      </w:pPr>
      <w:r w:rsidRPr="002F1722">
        <w:rPr>
          <w:b/>
        </w:rPr>
        <w:lastRenderedPageBreak/>
        <w:t>DH foreslår, at</w:t>
      </w:r>
      <w:r>
        <w:t>:</w:t>
      </w:r>
    </w:p>
    <w:p w14:paraId="5FA30924" w14:textId="77777777" w:rsidR="009079D5" w:rsidRPr="00CC3822" w:rsidRDefault="009079D5" w:rsidP="009079D5">
      <w:pPr>
        <w:pStyle w:val="Opstilling-punkttegn"/>
        <w:numPr>
          <w:ilvl w:val="0"/>
          <w:numId w:val="26"/>
        </w:numPr>
        <w:spacing w:after="240"/>
        <w:rPr>
          <w:szCs w:val="26"/>
        </w:rPr>
      </w:pPr>
      <w:r>
        <w:t xml:space="preserve">Ankestyrelsen skal have mandat til kunne at vurdere kommunernes skønsudøvelse. Det indebærer, at der i </w:t>
      </w:r>
      <w:r w:rsidRPr="00556518">
        <w:t>lov om retssikkerhed og administration på det sociale område</w:t>
      </w:r>
      <w:r>
        <w:t xml:space="preserve"> indskrives hjemmel til, at Ankestyrelsen kan efterprøve det kommunale skøn. Ankestyrelsen skal have mulighed for og pligt til fuld prøvelsesret.</w:t>
      </w:r>
    </w:p>
    <w:p w14:paraId="0CA28292" w14:textId="77777777" w:rsidR="009079D5" w:rsidRDefault="009079D5" w:rsidP="009079D5">
      <w:pPr>
        <w:pStyle w:val="Opstilling-punkttegn"/>
        <w:numPr>
          <w:ilvl w:val="0"/>
          <w:numId w:val="26"/>
        </w:numPr>
        <w:spacing w:after="240"/>
        <w:rPr>
          <w:szCs w:val="26"/>
        </w:rPr>
      </w:pPr>
      <w:r>
        <w:t xml:space="preserve">Der er behov for, at vejledningen til retssikkerhedsloven tydeliggør, hvornår Ankestyrelsen bør efterprøve det kommunale skøn. Det kan bl.a. dreje sig om prøvelse af </w:t>
      </w:r>
      <w:r w:rsidRPr="006D70B6">
        <w:rPr>
          <w:szCs w:val="26"/>
        </w:rPr>
        <w:t xml:space="preserve">begrundelsen for afgørelsen, og hvilke konkrete oplysninger kommunen har indhentet og lagt til grund </w:t>
      </w:r>
      <w:r w:rsidRPr="00660BFF">
        <w:rPr>
          <w:szCs w:val="26"/>
        </w:rPr>
        <w:t>herfor. Det kan fx omfatte</w:t>
      </w:r>
      <w:r>
        <w:rPr>
          <w:szCs w:val="26"/>
        </w:rPr>
        <w:t>, h</w:t>
      </w:r>
      <w:r w:rsidRPr="00660BFF">
        <w:rPr>
          <w:szCs w:val="26"/>
        </w:rPr>
        <w:t>vordan kommunen forholder sig til lægefaglige oplysninger mv.</w:t>
      </w:r>
    </w:p>
    <w:p w14:paraId="5177E25F" w14:textId="77777777" w:rsidR="009079D5" w:rsidRPr="004577D4" w:rsidRDefault="009079D5" w:rsidP="009079D5">
      <w:pPr>
        <w:pStyle w:val="Overskrift3"/>
        <w:rPr>
          <w:rStyle w:val="Underoverskrift"/>
          <w:b w:val="0"/>
        </w:rPr>
      </w:pPr>
      <w:bookmarkStart w:id="103" w:name="_Toc90284247"/>
      <w:bookmarkStart w:id="104" w:name="_Toc90291151"/>
      <w:bookmarkStart w:id="105" w:name="_Toc90291266"/>
      <w:bookmarkStart w:id="106" w:name="_Toc102388690"/>
      <w:r>
        <w:rPr>
          <w:rStyle w:val="Underoverskrift"/>
          <w:b w:val="0"/>
        </w:rPr>
        <w:t>20</w:t>
      </w:r>
      <w:r w:rsidRPr="004577D4">
        <w:rPr>
          <w:rStyle w:val="Underoverskrift"/>
          <w:b w:val="0"/>
        </w:rPr>
        <w:t>. Flere praksisundersøgelser og systematisk opfølgning</w:t>
      </w:r>
      <w:bookmarkEnd w:id="103"/>
      <w:bookmarkEnd w:id="104"/>
      <w:bookmarkEnd w:id="105"/>
      <w:bookmarkEnd w:id="106"/>
    </w:p>
    <w:p w14:paraId="7F342D5A" w14:textId="77777777" w:rsidR="009079D5" w:rsidRDefault="009079D5" w:rsidP="00F13389">
      <w:pPr>
        <w:pStyle w:val="Opstilling-punkttegn"/>
        <w:numPr>
          <w:ilvl w:val="0"/>
          <w:numId w:val="0"/>
        </w:numPr>
        <w:spacing w:after="240"/>
        <w:rPr>
          <w:szCs w:val="26"/>
        </w:rPr>
      </w:pPr>
      <w:r>
        <w:rPr>
          <w:szCs w:val="26"/>
        </w:rPr>
        <w:t>Praksisundersøgelser bidrager til at vejlede kommunerne til at træffe de rigtige afgørelser.</w:t>
      </w:r>
    </w:p>
    <w:p w14:paraId="0FBCC38B" w14:textId="77777777" w:rsidR="009079D5" w:rsidRDefault="009079D5" w:rsidP="009079D5">
      <w:pPr>
        <w:spacing w:after="240"/>
      </w:pPr>
      <w:r w:rsidRPr="002F1722">
        <w:rPr>
          <w:b/>
        </w:rPr>
        <w:t>DH foreslår, at</w:t>
      </w:r>
      <w:r>
        <w:t>:</w:t>
      </w:r>
    </w:p>
    <w:p w14:paraId="57A66A0F" w14:textId="77777777" w:rsidR="009079D5" w:rsidRDefault="009079D5" w:rsidP="009079D5">
      <w:pPr>
        <w:pStyle w:val="Opstilling-punkttegn"/>
        <w:numPr>
          <w:ilvl w:val="0"/>
          <w:numId w:val="27"/>
        </w:numPr>
        <w:spacing w:before="240"/>
      </w:pPr>
      <w:r w:rsidRPr="005035CA">
        <w:t>Ankestyrelsen skal foretage flere praksisundersøgelser. Det v</w:t>
      </w:r>
      <w:r>
        <w:t>il være økonomisk overskueligt:</w:t>
      </w:r>
      <w:r>
        <w:rPr>
          <w:color w:val="000000"/>
        </w:rPr>
        <w:t xml:space="preserve"> </w:t>
      </w:r>
      <w:hyperlink r:id="rId10" w:history="1">
        <w:r>
          <w:rPr>
            <w:rStyle w:val="Hyperlink"/>
          </w:rPr>
          <w:t>SOU Alm.del - endeligt svar på spørgsmål 655: SOU alm. del. - svar på spm 655.docm (ft.dk)</w:t>
        </w:r>
      </w:hyperlink>
      <w:r>
        <w:rPr>
          <w:color w:val="000000"/>
        </w:rPr>
        <w:t xml:space="preserve"> </w:t>
      </w:r>
      <w:r w:rsidRPr="005035CA">
        <w:t>Flere praksisundersøgelser vil gøre styrelsen bedre i stand til at vejlede kommunerne, så de træffer rigtige afgørelser i første omgang. Det vil samtidig give et klarere billede af, hvor problemer</w:t>
      </w:r>
      <w:r>
        <w:t>ne i sagsbehandlingen reelt er.</w:t>
      </w:r>
    </w:p>
    <w:p w14:paraId="263FB4FE" w14:textId="77777777" w:rsidR="009079D5" w:rsidRDefault="009079D5" w:rsidP="009079D5">
      <w:pPr>
        <w:pStyle w:val="Opstilling-punkttegn"/>
        <w:numPr>
          <w:ilvl w:val="0"/>
          <w:numId w:val="27"/>
        </w:numPr>
        <w:spacing w:before="240"/>
      </w:pPr>
      <w:r w:rsidRPr="005035CA">
        <w:t>Når Ankestyrelsen i sine praksisundersøgelser støder på sager, der er afgjort forkert, skal disse sager systematisk genbehandles, så de berørte borgere e</w:t>
      </w:r>
      <w:r>
        <w:t>r sikret en korrekt afgørelse</w:t>
      </w:r>
      <w:r w:rsidRPr="005035CA">
        <w:t>.</w:t>
      </w:r>
    </w:p>
    <w:p w14:paraId="750F2B31" w14:textId="77777777" w:rsidR="009079D5" w:rsidRDefault="009079D5" w:rsidP="009079D5">
      <w:pPr>
        <w:pStyle w:val="Opstilling-punkttegn"/>
        <w:numPr>
          <w:ilvl w:val="0"/>
          <w:numId w:val="27"/>
        </w:numPr>
        <w:spacing w:before="240" w:after="240"/>
      </w:pPr>
      <w:r>
        <w:t>Ankestyrelsen skal undervise kommuner, når der i en praksisundersøgelse har vist sig problemer med kommunens sagsbehandling på et område. Undervisningen skal tilrettelægges, så den er målrettet de udfordringer, som kommunen har og i samarbejde med kommunen.</w:t>
      </w:r>
    </w:p>
    <w:p w14:paraId="61F8FC79" w14:textId="77777777" w:rsidR="009079D5" w:rsidRPr="004577D4" w:rsidRDefault="009079D5" w:rsidP="009079D5">
      <w:pPr>
        <w:pStyle w:val="Overskrift3"/>
        <w:rPr>
          <w:rStyle w:val="Underoverskrift"/>
          <w:b w:val="0"/>
        </w:rPr>
      </w:pPr>
      <w:bookmarkStart w:id="107" w:name="_Toc90284248"/>
      <w:bookmarkStart w:id="108" w:name="_Toc90291152"/>
      <w:bookmarkStart w:id="109" w:name="_Toc90291267"/>
      <w:bookmarkStart w:id="110" w:name="_Toc102388691"/>
      <w:r>
        <w:rPr>
          <w:rStyle w:val="Underoverskrift"/>
          <w:b w:val="0"/>
        </w:rPr>
        <w:t>21</w:t>
      </w:r>
      <w:r w:rsidRPr="004577D4">
        <w:rPr>
          <w:rStyle w:val="Underoverskrift"/>
          <w:b w:val="0"/>
        </w:rPr>
        <w:t>. Opgør med kommunale ’bunkeafgørelser’</w:t>
      </w:r>
      <w:bookmarkEnd w:id="107"/>
      <w:bookmarkEnd w:id="108"/>
      <w:bookmarkEnd w:id="109"/>
      <w:bookmarkEnd w:id="110"/>
    </w:p>
    <w:p w14:paraId="27FA8999" w14:textId="77777777" w:rsidR="009079D5" w:rsidRDefault="009079D5" w:rsidP="009079D5">
      <w:pPr>
        <w:spacing w:after="240"/>
      </w:pPr>
      <w:r>
        <w:t>Der er behov for at sikre, at kommunerne ikke benytter serviceniveauer til at begrænse eller udelukke lovpligtige skøn og træffe ’bunke-afgørelser’ på grundlag af et vedtaget serviceniveau. Det skal sikres, at de borgere, der ikke selv klager, ikke kommer i klemme, når kommunerne igangsætter omfattende re-visitationer og ’bunke-afgørelser’ på baggrund af et serviceniveau.</w:t>
      </w:r>
    </w:p>
    <w:p w14:paraId="517D6BAD" w14:textId="77777777" w:rsidR="009079D5" w:rsidRDefault="009079D5" w:rsidP="009079D5">
      <w:pPr>
        <w:spacing w:after="240"/>
      </w:pPr>
      <w:r w:rsidRPr="006915A6">
        <w:rPr>
          <w:b/>
        </w:rPr>
        <w:t>DH foreslår, at</w:t>
      </w:r>
      <w:r>
        <w:t>:</w:t>
      </w:r>
    </w:p>
    <w:p w14:paraId="5398B56C" w14:textId="77777777" w:rsidR="009079D5" w:rsidRDefault="009079D5" w:rsidP="009079D5">
      <w:pPr>
        <w:pStyle w:val="Opstilling-punkttegn"/>
        <w:numPr>
          <w:ilvl w:val="0"/>
          <w:numId w:val="28"/>
        </w:numPr>
        <w:spacing w:after="240"/>
      </w:pPr>
      <w:r>
        <w:t>Hvis Ankestyrelsen i en række afgørelser inden for samme område og samme kommune finder, at en kommune har truffet ’bunkeafgørelser’ ud fra kommunens serviceniveau, uden hensyn til borgernes individuelle behov, skal Ankestyrelsen tage sagen op med kommunen.</w:t>
      </w:r>
    </w:p>
    <w:p w14:paraId="2474C774" w14:textId="77777777" w:rsidR="009079D5" w:rsidRDefault="009079D5" w:rsidP="009079D5">
      <w:pPr>
        <w:pStyle w:val="Opstilling-punkttegn"/>
        <w:numPr>
          <w:ilvl w:val="0"/>
          <w:numId w:val="28"/>
        </w:numPr>
        <w:spacing w:after="240"/>
      </w:pPr>
      <w:r>
        <w:t>Ankestyrelsen får kompetence til at bede kommunen om en tilbagemelding inden for en afgrænset tidsperiode, om hvordan kommunen har tænkt sig at genvurdere samtlige sager truffet på baggrund af serviceniveauet.</w:t>
      </w:r>
    </w:p>
    <w:p w14:paraId="2F14711A" w14:textId="77777777" w:rsidR="009079D5" w:rsidRDefault="009079D5" w:rsidP="009079D5">
      <w:pPr>
        <w:pStyle w:val="Opstilling-punkttegn"/>
        <w:numPr>
          <w:ilvl w:val="0"/>
          <w:numId w:val="28"/>
        </w:numPr>
        <w:spacing w:after="240"/>
      </w:pPr>
      <w:r>
        <w:t>Såfremt kommunens tilbagemelding ikke er tilfredsstillende, skal Ankestyrelsen oversende sagen til Tilsynet.</w:t>
      </w:r>
    </w:p>
    <w:p w14:paraId="3E43C29E" w14:textId="77777777" w:rsidR="009079D5" w:rsidRPr="004577D4" w:rsidRDefault="009079D5" w:rsidP="009079D5">
      <w:pPr>
        <w:pStyle w:val="Overskrift3"/>
        <w:rPr>
          <w:rStyle w:val="Underoverskrift"/>
          <w:b w:val="0"/>
        </w:rPr>
      </w:pPr>
      <w:bookmarkStart w:id="111" w:name="_Toc90284249"/>
      <w:bookmarkStart w:id="112" w:name="_Toc90291153"/>
      <w:bookmarkStart w:id="113" w:name="_Toc90291268"/>
      <w:bookmarkStart w:id="114" w:name="_Toc102388692"/>
      <w:r>
        <w:rPr>
          <w:rStyle w:val="Underoverskrift"/>
          <w:b w:val="0"/>
        </w:rPr>
        <w:lastRenderedPageBreak/>
        <w:t>22</w:t>
      </w:r>
      <w:r w:rsidRPr="004577D4">
        <w:rPr>
          <w:rStyle w:val="Underoverskrift"/>
          <w:b w:val="0"/>
        </w:rPr>
        <w:t>. Alle ankesager skal mødebehandles</w:t>
      </w:r>
      <w:bookmarkEnd w:id="111"/>
      <w:bookmarkEnd w:id="112"/>
      <w:bookmarkEnd w:id="113"/>
      <w:bookmarkEnd w:id="114"/>
    </w:p>
    <w:p w14:paraId="488E0EE0" w14:textId="77777777" w:rsidR="009079D5" w:rsidRDefault="009079D5" w:rsidP="00F13389">
      <w:pPr>
        <w:pStyle w:val="Opstilling-punkttegn"/>
        <w:numPr>
          <w:ilvl w:val="0"/>
          <w:numId w:val="0"/>
        </w:numPr>
        <w:spacing w:after="240"/>
      </w:pPr>
      <w:r>
        <w:t>Beskikkede medlemmer af Ankestyrelsen udpeget af DH m.fl. er i dag primært med til at mødebehandle børnesager og arbejdsskadesager. Som udgangspunkt bør alle typer handicapsager mødebehandles. Jurister i Ankestyrelsen kan ikke forventes at have tilstrækkelig indsigt i livet med handicap til at kunne gennemskue konsekvenser af afgørelser om fx boligindretning, handicapbiler, bostøtte, ledsagerordning,</w:t>
      </w:r>
      <w:r>
        <w:rPr>
          <w:rFonts w:ascii="Arial" w:hAnsi="Arial" w:cs="Arial"/>
        </w:rPr>
        <w:t> </w:t>
      </w:r>
      <w:r>
        <w:t>BPA</w:t>
      </w:r>
      <w:r>
        <w:rPr>
          <w:rFonts w:ascii="Arial" w:hAnsi="Arial" w:cs="Arial"/>
        </w:rPr>
        <w:t> </w:t>
      </w:r>
      <w:r>
        <w:t>mv.</w:t>
      </w:r>
    </w:p>
    <w:p w14:paraId="0CDD7B4C" w14:textId="77777777" w:rsidR="009079D5" w:rsidRPr="00563197" w:rsidRDefault="009079D5" w:rsidP="009079D5">
      <w:pPr>
        <w:spacing w:after="240"/>
        <w:rPr>
          <w:b/>
        </w:rPr>
      </w:pPr>
      <w:r w:rsidRPr="00563197">
        <w:rPr>
          <w:b/>
        </w:rPr>
        <w:t>DH foreslår, at:</w:t>
      </w:r>
    </w:p>
    <w:p w14:paraId="27CFD6DF" w14:textId="77777777" w:rsidR="009079D5" w:rsidRPr="00243659" w:rsidRDefault="009079D5" w:rsidP="009079D5">
      <w:pPr>
        <w:pStyle w:val="Opstilling-punkttegn"/>
        <w:numPr>
          <w:ilvl w:val="0"/>
          <w:numId w:val="29"/>
        </w:numPr>
        <w:spacing w:after="240"/>
      </w:pPr>
      <w:r>
        <w:t xml:space="preserve">Det skal som med børnesager og arbejdsskadesager være obligatorisk at behandle </w:t>
      </w:r>
      <w:r w:rsidRPr="00243659">
        <w:t xml:space="preserve">handicapsager </w:t>
      </w:r>
      <w:r>
        <w:t>på ankemøder</w:t>
      </w:r>
      <w:r w:rsidRPr="00243659">
        <w:t>.</w:t>
      </w:r>
    </w:p>
    <w:p w14:paraId="6B72EEB1" w14:textId="77777777" w:rsidR="009079D5" w:rsidRPr="004577D4" w:rsidRDefault="009079D5" w:rsidP="009079D5">
      <w:pPr>
        <w:pStyle w:val="Overskrift3"/>
        <w:rPr>
          <w:rStyle w:val="Underoverskrift"/>
          <w:b w:val="0"/>
        </w:rPr>
      </w:pPr>
      <w:bookmarkStart w:id="115" w:name="_Toc102388693"/>
      <w:r>
        <w:rPr>
          <w:rStyle w:val="Underoverskrift"/>
          <w:b w:val="0"/>
        </w:rPr>
        <w:t>23</w:t>
      </w:r>
      <w:r w:rsidRPr="004577D4">
        <w:rPr>
          <w:rStyle w:val="Underoverskrift"/>
          <w:b w:val="0"/>
        </w:rPr>
        <w:t>. D</w:t>
      </w:r>
      <w:r>
        <w:rPr>
          <w:rStyle w:val="Underoverskrift"/>
          <w:b w:val="0"/>
        </w:rPr>
        <w:t>H skal deltage i Ankestyrelsens fora på lige fod med KL</w:t>
      </w:r>
      <w:bookmarkEnd w:id="115"/>
      <w:r>
        <w:rPr>
          <w:rStyle w:val="Underoverskrift"/>
          <w:b w:val="0"/>
        </w:rPr>
        <w:t xml:space="preserve"> </w:t>
      </w:r>
      <w:r w:rsidRPr="004577D4">
        <w:rPr>
          <w:rStyle w:val="Underoverskrift"/>
          <w:b w:val="0"/>
        </w:rPr>
        <w:t xml:space="preserve">  </w:t>
      </w:r>
    </w:p>
    <w:p w14:paraId="333BF9A8" w14:textId="77777777" w:rsidR="009079D5" w:rsidRDefault="009079D5" w:rsidP="009079D5">
      <w:pPr>
        <w:rPr>
          <w:rStyle w:val="Strk"/>
          <w:rFonts w:asciiTheme="minorHAnsi" w:hAnsiTheme="minorHAnsi" w:cstheme="minorHAnsi"/>
          <w:b w:val="0"/>
          <w:color w:val="282828"/>
          <w:shd w:val="clear" w:color="auto" w:fill="FFFFFF"/>
        </w:rPr>
      </w:pPr>
      <w:r>
        <w:rPr>
          <w:rStyle w:val="Strk"/>
          <w:rFonts w:asciiTheme="minorHAnsi" w:hAnsiTheme="minorHAnsi" w:cstheme="minorHAnsi"/>
          <w:b w:val="0"/>
          <w:color w:val="282828"/>
          <w:shd w:val="clear" w:color="auto" w:fill="FFFFFF"/>
        </w:rPr>
        <w:t>I 2021 blev oprettet et permanent underudvalg til</w:t>
      </w:r>
      <w:r w:rsidRPr="00EB55F9">
        <w:rPr>
          <w:rStyle w:val="Strk"/>
          <w:rFonts w:asciiTheme="minorHAnsi" w:hAnsiTheme="minorHAnsi" w:cstheme="minorHAnsi"/>
          <w:b w:val="0"/>
          <w:color w:val="282828"/>
          <w:shd w:val="clear" w:color="auto" w:fill="FFFFFF"/>
        </w:rPr>
        <w:t xml:space="preserve"> Ankestyrelsens Dialogforum, </w:t>
      </w:r>
      <w:r>
        <w:rPr>
          <w:rStyle w:val="Strk"/>
          <w:rFonts w:asciiTheme="minorHAnsi" w:hAnsiTheme="minorHAnsi" w:cstheme="minorHAnsi"/>
          <w:b w:val="0"/>
          <w:color w:val="282828"/>
          <w:shd w:val="clear" w:color="auto" w:fill="FFFFFF"/>
        </w:rPr>
        <w:t>der</w:t>
      </w:r>
      <w:r w:rsidRPr="00EB55F9">
        <w:rPr>
          <w:rStyle w:val="Strk"/>
          <w:rFonts w:asciiTheme="minorHAnsi" w:hAnsiTheme="minorHAnsi" w:cstheme="minorHAnsi"/>
          <w:b w:val="0"/>
          <w:color w:val="282828"/>
          <w:shd w:val="clear" w:color="auto" w:fill="FFFFFF"/>
        </w:rPr>
        <w:t xml:space="preserve"> skal sikre øget fokus på drøftelse af indhold og rækkevidden af principmeddelelser, som kan have stor betydning for kommunerne</w:t>
      </w:r>
      <w:r>
        <w:rPr>
          <w:rStyle w:val="Strk"/>
          <w:rFonts w:asciiTheme="minorHAnsi" w:hAnsiTheme="minorHAnsi" w:cstheme="minorHAnsi"/>
          <w:b w:val="0"/>
          <w:color w:val="282828"/>
          <w:shd w:val="clear" w:color="auto" w:fill="FFFFFF"/>
        </w:rPr>
        <w:t>. I underudvalget til dialogforummet sidder KL men ikke DH. DH’s medlemsorganisationers rådgivninger vil på samme vis som kommunerne have glæde af repræsentation i det permanente underudvalg og i det hele taget at deltage i fora i Ankestyrelsen på lige fod med KL.</w:t>
      </w:r>
    </w:p>
    <w:p w14:paraId="1EE57787" w14:textId="77777777" w:rsidR="009079D5" w:rsidRDefault="009079D5" w:rsidP="009079D5"/>
    <w:p w14:paraId="6427332F" w14:textId="77777777" w:rsidR="009079D5" w:rsidRPr="005035CA" w:rsidRDefault="009079D5" w:rsidP="009079D5">
      <w:pPr>
        <w:spacing w:after="240"/>
        <w:rPr>
          <w:b/>
        </w:rPr>
      </w:pPr>
      <w:r w:rsidRPr="005035CA">
        <w:rPr>
          <w:b/>
        </w:rPr>
        <w:t>DH foreslår</w:t>
      </w:r>
      <w:r>
        <w:rPr>
          <w:b/>
        </w:rPr>
        <w:t>, at</w:t>
      </w:r>
      <w:r w:rsidRPr="005035CA">
        <w:rPr>
          <w:b/>
        </w:rPr>
        <w:t>:</w:t>
      </w:r>
    </w:p>
    <w:p w14:paraId="4EE3744E" w14:textId="77777777" w:rsidR="009079D5" w:rsidRPr="009B4573" w:rsidRDefault="009079D5" w:rsidP="009079D5">
      <w:pPr>
        <w:pStyle w:val="Opstilling-punkttegn"/>
        <w:numPr>
          <w:ilvl w:val="0"/>
          <w:numId w:val="24"/>
        </w:numPr>
        <w:rPr>
          <w:rStyle w:val="Strk"/>
          <w:b w:val="0"/>
          <w:bCs w:val="0"/>
        </w:rPr>
      </w:pPr>
      <w:r>
        <w:t>DH bliver repræsenteret i d</w:t>
      </w:r>
      <w:r w:rsidRPr="00EB55F9">
        <w:rPr>
          <w:rStyle w:val="Strk"/>
          <w:rFonts w:asciiTheme="minorHAnsi" w:hAnsiTheme="minorHAnsi" w:cstheme="minorHAnsi"/>
          <w:b w:val="0"/>
          <w:color w:val="282828"/>
          <w:shd w:val="clear" w:color="auto" w:fill="FFFFFF"/>
        </w:rPr>
        <w:t>et permanent</w:t>
      </w:r>
      <w:r>
        <w:rPr>
          <w:rStyle w:val="Strk"/>
          <w:rFonts w:asciiTheme="minorHAnsi" w:hAnsiTheme="minorHAnsi" w:cstheme="minorHAnsi"/>
          <w:b w:val="0"/>
          <w:color w:val="282828"/>
          <w:shd w:val="clear" w:color="auto" w:fill="FFFFFF"/>
        </w:rPr>
        <w:t>e</w:t>
      </w:r>
      <w:r w:rsidRPr="00EB55F9">
        <w:rPr>
          <w:rStyle w:val="Strk"/>
          <w:rFonts w:asciiTheme="minorHAnsi" w:hAnsiTheme="minorHAnsi" w:cstheme="minorHAnsi"/>
          <w:b w:val="0"/>
          <w:color w:val="282828"/>
          <w:shd w:val="clear" w:color="auto" w:fill="FFFFFF"/>
        </w:rPr>
        <w:t xml:space="preserve"> underudvalg i Ankestyrelsens Dialogforum</w:t>
      </w:r>
      <w:r>
        <w:rPr>
          <w:rStyle w:val="Strk"/>
          <w:rFonts w:asciiTheme="minorHAnsi" w:hAnsiTheme="minorHAnsi" w:cstheme="minorHAnsi"/>
          <w:b w:val="0"/>
          <w:color w:val="282828"/>
          <w:shd w:val="clear" w:color="auto" w:fill="FFFFFF"/>
        </w:rPr>
        <w:t>.</w:t>
      </w:r>
    </w:p>
    <w:p w14:paraId="0B28A48B" w14:textId="77777777" w:rsidR="009079D5" w:rsidRDefault="009079D5" w:rsidP="00DF1EC4"/>
    <w:sectPr w:rsidR="009079D5" w:rsidSect="00DB335E">
      <w:headerReference w:type="default" r:id="rId11"/>
      <w:footerReference w:type="default" r:id="rId12"/>
      <w:headerReference w:type="first" r:id="rId13"/>
      <w:footerReference w:type="first" r:id="rId14"/>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48FE1" w14:textId="77777777" w:rsidR="002346DA" w:rsidRDefault="002346DA">
      <w:pPr>
        <w:spacing w:line="240" w:lineRule="auto"/>
      </w:pPr>
      <w:r>
        <w:separator/>
      </w:r>
    </w:p>
  </w:endnote>
  <w:endnote w:type="continuationSeparator" w:id="0">
    <w:p w14:paraId="169F8EEA" w14:textId="77777777" w:rsidR="002346DA" w:rsidRDefault="002346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Arial"/>
    <w:panose1 w:val="020B0306030504020204"/>
    <w:charset w:val="00"/>
    <w:family w:val="swiss"/>
    <w:pitch w:val="variable"/>
    <w:sig w:usb0="E00002EF" w:usb1="4000205B" w:usb2="00000028" w:usb3="00000000" w:csb0="0000019F" w:csb1="00000000"/>
    <w:embedRegular r:id="rId1" w:fontKey="{005AB67F-1E4C-45E9-9363-835C41686F00}"/>
    <w:embedBold r:id="rId2" w:fontKey="{216CB9EC-D7CE-4608-B98D-953C9082FB72}"/>
    <w:embedItalic r:id="rId3" w:fontKey="{7A2FF29E-0E55-4FA7-8239-DCB66A5434B9}"/>
    <w:embedBoldItalic r:id="rId4" w:fontKey="{481E5D1C-C671-4888-9B8C-E44F9F73ED7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B426AF46-302E-4C85-81D2-53FEF2060D18}"/>
    <w:embedBold r:id="rId6" w:fontKey="{BF1E3F37-77C8-4BC5-8DD6-32FE9545056C}"/>
    <w:embedItalic r:id="rId7" w:fontKey="{3D107D72-BFA5-46A9-A1B9-B47DDD26D5F6}"/>
    <w:embedBoldItalic r:id="rId8" w:fontKey="{E10DD4FE-4D56-4300-ABD7-98ED05CC656E}"/>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9" w:fontKey="{0A466A33-AC78-4C75-A8E1-E05D8888EAAF}"/>
  </w:font>
  <w:font w:name="Calibri">
    <w:panose1 w:val="020F0502020204030204"/>
    <w:charset w:val="00"/>
    <w:family w:val="swiss"/>
    <w:pitch w:val="variable"/>
    <w:sig w:usb0="E4002EFF" w:usb1="C000247B" w:usb2="00000009" w:usb3="00000000" w:csb0="000001FF" w:csb1="00000000"/>
    <w:embedRegular r:id="rId10" w:fontKey="{5A1C6CEF-9373-4DC7-B9B4-EA369C3941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8D3E4" w14:textId="77777777" w:rsidR="005C1D7B" w:rsidRDefault="005C1D7B" w:rsidP="00100249">
    <w:pPr>
      <w:pStyle w:val="Sidefod"/>
    </w:pPr>
    <w:r>
      <w:rPr>
        <w:noProof/>
        <w:lang w:eastAsia="da-DK"/>
      </w:rPr>
      <mc:AlternateContent>
        <mc:Choice Requires="wps">
          <w:drawing>
            <wp:anchor distT="0" distB="0" distL="114300" distR="114300" simplePos="0" relativeHeight="251660288" behindDoc="0" locked="0" layoutInCell="1" allowOverlap="1" wp14:anchorId="4778D3EA" wp14:editId="4778D3EB">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778D3F0" w14:textId="56E204BE" w:rsidR="005C1D7B" w:rsidRDefault="005C1D7B"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40788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07887">
                            <w:rPr>
                              <w:rStyle w:val="Sidetal"/>
                              <w:noProof/>
                            </w:rPr>
                            <w:t>13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778D3EA"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4778D3F0" w14:textId="56E204BE" w:rsidR="005C1D7B" w:rsidRDefault="005C1D7B"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40788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07887">
                      <w:rPr>
                        <w:rStyle w:val="Sidetal"/>
                        <w:noProof/>
                      </w:rPr>
                      <w:t>13</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5C1D7B" w14:paraId="4778D3E8" w14:textId="77777777" w:rsidTr="00A97F6A">
      <w:tc>
        <w:tcPr>
          <w:tcW w:w="10915" w:type="dxa"/>
          <w:hideMark/>
        </w:tcPr>
        <w:p w14:paraId="4778D3E7" w14:textId="77777777" w:rsidR="005C1D7B" w:rsidRDefault="005C1D7B"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14:paraId="4778D3E9" w14:textId="77777777" w:rsidR="005C1D7B" w:rsidRDefault="005C1D7B"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574B1" w14:textId="77777777" w:rsidR="002346DA" w:rsidRDefault="002346DA">
      <w:pPr>
        <w:spacing w:line="240" w:lineRule="auto"/>
      </w:pPr>
      <w:r>
        <w:separator/>
      </w:r>
    </w:p>
  </w:footnote>
  <w:footnote w:type="continuationSeparator" w:id="0">
    <w:p w14:paraId="69F35539" w14:textId="77777777" w:rsidR="002346DA" w:rsidRDefault="002346DA">
      <w:pPr>
        <w:spacing w:line="240" w:lineRule="auto"/>
      </w:pPr>
      <w:r>
        <w:continuationSeparator/>
      </w:r>
    </w:p>
  </w:footnote>
  <w:footnote w:id="1">
    <w:p w14:paraId="06F1B333" w14:textId="77777777" w:rsidR="005C1D7B" w:rsidRDefault="005C1D7B" w:rsidP="009079D5">
      <w:pPr>
        <w:pStyle w:val="Fodnotetekst"/>
      </w:pPr>
      <w:r>
        <w:rPr>
          <w:rStyle w:val="Fodnotehenvisning"/>
        </w:rPr>
        <w:footnoteRef/>
      </w:r>
      <w:r>
        <w:t xml:space="preserve"> Tallet er beregnet af DH’s sekretariat på baggrund af tal fra VIVES SHILD-undersøgelse 2020. Heraf fremgår det, at 46% af i alt 120.164 personer mellem 16-64 år med et større psykisk handicap, og 23% af 269.459 med et mindre psykisk handicap, har haft kontakt til kommunen mindst én gang inden for det seneste år. Det samme gælder 35% af i alt 313.155 med et større fysisk handicap og 18% af 575.332 med et mindre fysisk handicap. Samtidig er der i beregningen medregnet en usikkerhed på 4,7% af VIVE’s samlede angivelse af populationen af mennesker med større eller mindre handicap (1.278.110). De 4,7% svarer til den andel som ifølge VIVE både har et fysisk og psykisk handicap og derfor kan fremgå af opgørelsen to gange.</w:t>
      </w:r>
    </w:p>
  </w:footnote>
  <w:footnote w:id="2">
    <w:p w14:paraId="01745D5C" w14:textId="77777777" w:rsidR="005C1D7B" w:rsidRDefault="005C1D7B" w:rsidP="009079D5">
      <w:pPr>
        <w:pStyle w:val="Fodnotetekst"/>
        <w:spacing w:after="0"/>
      </w:pPr>
      <w:r>
        <w:rPr>
          <w:rStyle w:val="Fodnotehenvisning"/>
        </w:rPr>
        <w:footnoteRef/>
      </w:r>
      <w:r>
        <w:t xml:space="preserve"> </w:t>
      </w:r>
      <w:hyperlink r:id="rId1" w:history="1">
        <w:r w:rsidRPr="0098084C">
          <w:rPr>
            <w:rStyle w:val="Hyperlink"/>
          </w:rPr>
          <w:t>https://www.vive.dk/da/udgivelser/mennesker-med-handicap-16726/</w:t>
        </w:r>
      </w:hyperlink>
      <w:r>
        <w:t xml:space="preserve"> </w:t>
      </w:r>
    </w:p>
  </w:footnote>
  <w:footnote w:id="3">
    <w:p w14:paraId="682E3DE1" w14:textId="77777777" w:rsidR="005C1D7B" w:rsidRPr="0093678C" w:rsidRDefault="005C1D7B" w:rsidP="009079D5">
      <w:pPr>
        <w:pStyle w:val="Fodnotetekst"/>
        <w:spacing w:after="0"/>
      </w:pPr>
      <w:r>
        <w:rPr>
          <w:rStyle w:val="Fodnotehenvisning"/>
        </w:rPr>
        <w:footnoteRef/>
      </w:r>
      <w:r w:rsidRPr="0093678C">
        <w:t xml:space="preserve"> </w:t>
      </w:r>
      <w:hyperlink r:id="rId2" w:history="1">
        <w:r w:rsidRPr="0093678C">
          <w:rPr>
            <w:rStyle w:val="Hyperlink"/>
          </w:rPr>
          <w:t>https://www.vive.dk/da/udgivelser/inddragelse-og-tillid-i-moedet-mellem-kommunerne-og-borgere-med-handicap-16095/</w:t>
        </w:r>
      </w:hyperlink>
    </w:p>
  </w:footnote>
  <w:footnote w:id="4">
    <w:p w14:paraId="5108C811" w14:textId="77777777" w:rsidR="005C1D7B" w:rsidRPr="0093678C" w:rsidRDefault="005C1D7B" w:rsidP="009079D5">
      <w:pPr>
        <w:rPr>
          <w:b/>
          <w:sz w:val="16"/>
          <w:szCs w:val="16"/>
        </w:rPr>
      </w:pPr>
      <w:r w:rsidRPr="0093678C">
        <w:rPr>
          <w:rStyle w:val="Fodnotehenvisning"/>
          <w:sz w:val="16"/>
          <w:szCs w:val="16"/>
        </w:rPr>
        <w:footnoteRef/>
      </w:r>
      <w:r w:rsidRPr="0093678C">
        <w:rPr>
          <w:sz w:val="16"/>
          <w:szCs w:val="16"/>
        </w:rPr>
        <w:t xml:space="preserve"> </w:t>
      </w:r>
      <w:hyperlink r:id="rId3" w:history="1">
        <w:r w:rsidRPr="0093678C">
          <w:rPr>
            <w:rStyle w:val="Hyperlink"/>
            <w:sz w:val="16"/>
            <w:szCs w:val="16"/>
          </w:rPr>
          <w:t>https://sm.dk/danmarkskort/2021</w:t>
        </w:r>
      </w:hyperlink>
    </w:p>
  </w:footnote>
  <w:footnote w:id="5">
    <w:p w14:paraId="58F0059F" w14:textId="77777777" w:rsidR="005C1D7B" w:rsidRDefault="005C1D7B" w:rsidP="009079D5">
      <w:pPr>
        <w:pStyle w:val="Fodnotetekst"/>
      </w:pPr>
      <w:r>
        <w:rPr>
          <w:rStyle w:val="Fodnotehenvisning"/>
        </w:rPr>
        <w:footnoteRef/>
      </w:r>
      <w:r>
        <w:t xml:space="preserve"> </w:t>
      </w:r>
      <w:hyperlink r:id="rId4" w:history="1">
        <w:r w:rsidRPr="00471FF8">
          <w:rPr>
            <w:rStyle w:val="Hyperlink"/>
          </w:rPr>
          <w:t>https://rigsrevisionen.dk/revisionssager-arkiv/2022/mar/beretning-om-forvaltningen-af-handicapomraadet</w:t>
        </w:r>
      </w:hyperlink>
      <w:r>
        <w:t xml:space="preserve"> </w:t>
      </w:r>
    </w:p>
  </w:footnote>
  <w:footnote w:id="6">
    <w:p w14:paraId="0B148F9D" w14:textId="77777777" w:rsidR="005C1D7B" w:rsidRDefault="005C1D7B" w:rsidP="009079D5">
      <w:pPr>
        <w:pStyle w:val="Fodnotetekst"/>
        <w:spacing w:line="240" w:lineRule="auto"/>
      </w:pPr>
      <w:r>
        <w:rPr>
          <w:rStyle w:val="Fodnotehenvisning"/>
        </w:rPr>
        <w:footnoteRef/>
      </w:r>
      <w:r>
        <w:t xml:space="preserve"> </w:t>
      </w:r>
      <w:hyperlink r:id="rId5" w:history="1">
        <w:r w:rsidRPr="005C4D15">
          <w:rPr>
            <w:rStyle w:val="Hyperlink"/>
          </w:rPr>
          <w:t>https://www.altinget.dk/boern/artikel/7-ud-af-10-lokalpolitikere-i-min-kommune-trumfer-oekonomi-jaevnligt-hensynet-til-borgernes-behov</w:t>
        </w:r>
      </w:hyperlink>
    </w:p>
  </w:footnote>
  <w:footnote w:id="7">
    <w:p w14:paraId="2ED62E43" w14:textId="77777777" w:rsidR="005C1D7B" w:rsidRDefault="005C1D7B" w:rsidP="009079D5">
      <w:pPr>
        <w:pStyle w:val="Fodnotetekst"/>
        <w:spacing w:line="240" w:lineRule="auto"/>
      </w:pPr>
      <w:r>
        <w:rPr>
          <w:rStyle w:val="Fodnotehenvisning"/>
        </w:rPr>
        <w:footnoteRef/>
      </w:r>
      <w:r>
        <w:t xml:space="preserve"> </w:t>
      </w:r>
      <w:hyperlink r:id="rId6" w:history="1">
        <w:r w:rsidRPr="005C4D15">
          <w:rPr>
            <w:rStyle w:val="Hyperlink"/>
          </w:rPr>
          <w:t>https://socialraadgiverne.dk/travlhed-og-presset-oekonomi-gaar-ud-over-borgere-med-handicap/</w:t>
        </w:r>
      </w:hyperlink>
    </w:p>
  </w:footnote>
  <w:footnote w:id="8">
    <w:p w14:paraId="69B98AF7" w14:textId="77777777" w:rsidR="005C1D7B" w:rsidRDefault="005C1D7B" w:rsidP="009079D5">
      <w:pPr>
        <w:pStyle w:val="Fodnotetekst"/>
        <w:spacing w:line="240" w:lineRule="auto"/>
      </w:pPr>
      <w:r>
        <w:rPr>
          <w:rStyle w:val="Fodnotehenvisning"/>
        </w:rPr>
        <w:footnoteRef/>
      </w:r>
      <w:r>
        <w:t xml:space="preserve"> </w:t>
      </w:r>
      <w:hyperlink r:id="rId7" w:history="1">
        <w:r w:rsidRPr="00EF30C1">
          <w:rPr>
            <w:rStyle w:val="Hyperlink"/>
          </w:rPr>
          <w:t>https://handicap.dk/arbejder-vi-for/vidensbank/dhs-undersoegelse-om-stoette-til-mennesker-med-handicap-2020</w:t>
        </w:r>
      </w:hyperlink>
    </w:p>
  </w:footnote>
  <w:footnote w:id="9">
    <w:p w14:paraId="0E1522A4" w14:textId="77777777" w:rsidR="005C1D7B" w:rsidRDefault="005C1D7B" w:rsidP="009079D5">
      <w:pPr>
        <w:pStyle w:val="Fodnotetekst"/>
      </w:pPr>
      <w:r>
        <w:rPr>
          <w:rStyle w:val="Fodnotehenvisning"/>
        </w:rPr>
        <w:footnoteRef/>
      </w:r>
      <w:r>
        <w:t xml:space="preserve"> </w:t>
      </w:r>
      <w:r w:rsidRPr="00EC0DCD">
        <w:t>https://handicap.dk/sites/handicap.dk/files/media/document/Saet-samarbejde-og-tillid-i-centrum-paa-handicapomraadet.pdf</w:t>
      </w:r>
    </w:p>
  </w:footnote>
  <w:footnote w:id="10">
    <w:p w14:paraId="5BDE992F" w14:textId="77777777" w:rsidR="005C1D7B" w:rsidRDefault="005C1D7B" w:rsidP="009079D5">
      <w:pPr>
        <w:pStyle w:val="Fodnotetekst"/>
      </w:pPr>
      <w:r>
        <w:rPr>
          <w:rStyle w:val="Fodnotehenvisning"/>
        </w:rPr>
        <w:footnoteRef/>
      </w:r>
      <w:r>
        <w:t xml:space="preserve"> </w:t>
      </w:r>
      <w:hyperlink r:id="rId8" w:history="1">
        <w:r w:rsidRPr="00237D41">
          <w:rPr>
            <w:rStyle w:val="Hyperlink"/>
          </w:rPr>
          <w:t>https://herningmodellen.herning.dk/herningmodellen-boern-og-unge</w:t>
        </w:r>
      </w:hyperlink>
    </w:p>
  </w:footnote>
  <w:footnote w:id="11">
    <w:p w14:paraId="05A79557" w14:textId="77777777" w:rsidR="005C1D7B" w:rsidRDefault="005C1D7B" w:rsidP="009079D5">
      <w:pPr>
        <w:pStyle w:val="Fodnotetekst"/>
      </w:pPr>
      <w:r>
        <w:rPr>
          <w:rStyle w:val="Fodnotehenvisning"/>
        </w:rPr>
        <w:footnoteRef/>
      </w:r>
      <w:r>
        <w:t xml:space="preserve"> </w:t>
      </w:r>
      <w:hyperlink r:id="rId9" w:history="1">
        <w:r w:rsidRPr="00237D41">
          <w:rPr>
            <w:rStyle w:val="Hyperlink"/>
          </w:rPr>
          <w:t>https://metodecentret.dk/taettere-paa-familien-fra-familiernes-perspektiv/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8D3E1" w14:textId="77777777" w:rsidR="005C1D7B" w:rsidRDefault="005C1D7B" w:rsidP="00022BE5">
    <w:pPr>
      <w:pStyle w:val="Sidehoved"/>
    </w:pPr>
  </w:p>
  <w:p w14:paraId="4778D3E2" w14:textId="77777777" w:rsidR="005C1D7B" w:rsidRDefault="005C1D7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8D3E5" w14:textId="77777777" w:rsidR="005C1D7B" w:rsidRDefault="005C1D7B" w:rsidP="00F4074D">
    <w:pPr>
      <w:pStyle w:val="Sidehoved"/>
    </w:pPr>
    <w:r>
      <w:rPr>
        <w:noProof/>
        <w:lang w:eastAsia="da-DK"/>
      </w:rPr>
      <w:drawing>
        <wp:anchor distT="0" distB="0" distL="114300" distR="114300" simplePos="0" relativeHeight="251658240" behindDoc="0" locked="0" layoutInCell="1" allowOverlap="1" wp14:anchorId="4778D3EC" wp14:editId="4778D3ED">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9264" behindDoc="1" locked="0" layoutInCell="1" hidden="1" allowOverlap="1" wp14:anchorId="4778D3EE" wp14:editId="4778D3EF">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4778D3E6" w14:textId="77777777" w:rsidR="005C1D7B" w:rsidRPr="00F4074D" w:rsidRDefault="005C1D7B"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5AF9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663AA"/>
    <w:multiLevelType w:val="hybridMultilevel"/>
    <w:tmpl w:val="1DC6B68C"/>
    <w:lvl w:ilvl="0" w:tplc="04060019">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11" w15:restartNumberingAfterBreak="0">
    <w:nsid w:val="04920194"/>
    <w:multiLevelType w:val="hybridMultilevel"/>
    <w:tmpl w:val="14AEC6B2"/>
    <w:lvl w:ilvl="0" w:tplc="04060019">
      <w:start w:val="1"/>
      <w:numFmt w:val="lowerLetter"/>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AB336FB"/>
    <w:multiLevelType w:val="hybridMultilevel"/>
    <w:tmpl w:val="EDA0A606"/>
    <w:lvl w:ilvl="0" w:tplc="6F3A9494">
      <w:start w:val="1"/>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12C6A5F"/>
    <w:multiLevelType w:val="hybridMultilevel"/>
    <w:tmpl w:val="EA205D3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67831CB"/>
    <w:multiLevelType w:val="hybridMultilevel"/>
    <w:tmpl w:val="79E84AC8"/>
    <w:lvl w:ilvl="0" w:tplc="04060019">
      <w:start w:val="1"/>
      <w:numFmt w:val="lowerLetter"/>
      <w:lvlText w:val="%1."/>
      <w:lvlJc w:val="left"/>
      <w:pPr>
        <w:ind w:left="928" w:hanging="360"/>
      </w:pPr>
      <w:rPr>
        <w:rFonts w:hint="default"/>
      </w:r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15" w15:restartNumberingAfterBreak="0">
    <w:nsid w:val="1C4E2128"/>
    <w:multiLevelType w:val="hybridMultilevel"/>
    <w:tmpl w:val="1DC6B68C"/>
    <w:lvl w:ilvl="0" w:tplc="04060019">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16" w15:restartNumberingAfterBreak="0">
    <w:nsid w:val="20841D3A"/>
    <w:multiLevelType w:val="hybridMultilevel"/>
    <w:tmpl w:val="1DC6B68C"/>
    <w:lvl w:ilvl="0" w:tplc="04060019">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17" w15:restartNumberingAfterBreak="0">
    <w:nsid w:val="240C1A0F"/>
    <w:multiLevelType w:val="hybridMultilevel"/>
    <w:tmpl w:val="C7AA3742"/>
    <w:lvl w:ilvl="0" w:tplc="65481A72">
      <w:start w:val="1"/>
      <w:numFmt w:val="lowerLetter"/>
      <w:lvlText w:val="%1."/>
      <w:lvlJc w:val="left"/>
      <w:pPr>
        <w:ind w:left="938" w:hanging="370"/>
      </w:pPr>
    </w:lvl>
    <w:lvl w:ilvl="1" w:tplc="04060001">
      <w:start w:val="1"/>
      <w:numFmt w:val="bullet"/>
      <w:lvlText w:val=""/>
      <w:lvlJc w:val="left"/>
      <w:pPr>
        <w:ind w:left="1648" w:hanging="360"/>
      </w:pPr>
      <w:rPr>
        <w:rFonts w:ascii="Symbol" w:hAnsi="Symbol" w:hint="default"/>
      </w:rPr>
    </w:lvl>
    <w:lvl w:ilvl="2" w:tplc="0406001B">
      <w:start w:val="1"/>
      <w:numFmt w:val="lowerRoman"/>
      <w:lvlText w:val="%3."/>
      <w:lvlJc w:val="right"/>
      <w:pPr>
        <w:ind w:left="2368" w:hanging="180"/>
      </w:pPr>
    </w:lvl>
    <w:lvl w:ilvl="3" w:tplc="0406000F">
      <w:start w:val="1"/>
      <w:numFmt w:val="decimal"/>
      <w:lvlText w:val="%4."/>
      <w:lvlJc w:val="left"/>
      <w:pPr>
        <w:ind w:left="3088" w:hanging="360"/>
      </w:pPr>
    </w:lvl>
    <w:lvl w:ilvl="4" w:tplc="04060019">
      <w:start w:val="1"/>
      <w:numFmt w:val="lowerLetter"/>
      <w:lvlText w:val="%5."/>
      <w:lvlJc w:val="left"/>
      <w:pPr>
        <w:ind w:left="3808" w:hanging="360"/>
      </w:pPr>
    </w:lvl>
    <w:lvl w:ilvl="5" w:tplc="0406001B">
      <w:start w:val="1"/>
      <w:numFmt w:val="lowerRoman"/>
      <w:lvlText w:val="%6."/>
      <w:lvlJc w:val="right"/>
      <w:pPr>
        <w:ind w:left="4528" w:hanging="180"/>
      </w:pPr>
    </w:lvl>
    <w:lvl w:ilvl="6" w:tplc="0406000F">
      <w:start w:val="1"/>
      <w:numFmt w:val="decimal"/>
      <w:lvlText w:val="%7."/>
      <w:lvlJc w:val="left"/>
      <w:pPr>
        <w:ind w:left="5248" w:hanging="360"/>
      </w:pPr>
    </w:lvl>
    <w:lvl w:ilvl="7" w:tplc="04060019">
      <w:start w:val="1"/>
      <w:numFmt w:val="lowerLetter"/>
      <w:lvlText w:val="%8."/>
      <w:lvlJc w:val="left"/>
      <w:pPr>
        <w:ind w:left="5968" w:hanging="360"/>
      </w:pPr>
    </w:lvl>
    <w:lvl w:ilvl="8" w:tplc="0406001B">
      <w:start w:val="1"/>
      <w:numFmt w:val="lowerRoman"/>
      <w:lvlText w:val="%9."/>
      <w:lvlJc w:val="right"/>
      <w:pPr>
        <w:ind w:left="6688" w:hanging="180"/>
      </w:pPr>
    </w:lvl>
  </w:abstractNum>
  <w:abstractNum w:abstractNumId="18" w15:restartNumberingAfterBreak="0">
    <w:nsid w:val="259D2CFB"/>
    <w:multiLevelType w:val="hybridMultilevel"/>
    <w:tmpl w:val="846C8836"/>
    <w:lvl w:ilvl="0" w:tplc="04060019">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19" w15:restartNumberingAfterBreak="0">
    <w:nsid w:val="25DD3932"/>
    <w:multiLevelType w:val="hybridMultilevel"/>
    <w:tmpl w:val="68E45CBC"/>
    <w:lvl w:ilvl="0" w:tplc="04060019">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20" w15:restartNumberingAfterBreak="0">
    <w:nsid w:val="2FF76078"/>
    <w:multiLevelType w:val="hybridMultilevel"/>
    <w:tmpl w:val="B6740282"/>
    <w:lvl w:ilvl="0" w:tplc="04060019">
      <w:start w:val="1"/>
      <w:numFmt w:val="lowerLetter"/>
      <w:lvlText w:val="%1."/>
      <w:lvlJc w:val="left"/>
      <w:pPr>
        <w:ind w:left="1288" w:hanging="360"/>
      </w:pPr>
    </w:lvl>
    <w:lvl w:ilvl="1" w:tplc="04060001">
      <w:start w:val="1"/>
      <w:numFmt w:val="bullet"/>
      <w:lvlText w:val=""/>
      <w:lvlJc w:val="left"/>
      <w:pPr>
        <w:ind w:left="2008" w:hanging="360"/>
      </w:pPr>
      <w:rPr>
        <w:rFonts w:ascii="Symbol" w:hAnsi="Symbol" w:hint="default"/>
      </w:rPr>
    </w:lvl>
    <w:lvl w:ilvl="2" w:tplc="0406001B" w:tentative="1">
      <w:start w:val="1"/>
      <w:numFmt w:val="lowerRoman"/>
      <w:lvlText w:val="%3."/>
      <w:lvlJc w:val="right"/>
      <w:pPr>
        <w:ind w:left="2728" w:hanging="180"/>
      </w:pPr>
    </w:lvl>
    <w:lvl w:ilvl="3" w:tplc="0406000F" w:tentative="1">
      <w:start w:val="1"/>
      <w:numFmt w:val="decimal"/>
      <w:lvlText w:val="%4."/>
      <w:lvlJc w:val="left"/>
      <w:pPr>
        <w:ind w:left="3448" w:hanging="360"/>
      </w:pPr>
    </w:lvl>
    <w:lvl w:ilvl="4" w:tplc="04060019" w:tentative="1">
      <w:start w:val="1"/>
      <w:numFmt w:val="lowerLetter"/>
      <w:lvlText w:val="%5."/>
      <w:lvlJc w:val="left"/>
      <w:pPr>
        <w:ind w:left="4168" w:hanging="360"/>
      </w:pPr>
    </w:lvl>
    <w:lvl w:ilvl="5" w:tplc="0406001B" w:tentative="1">
      <w:start w:val="1"/>
      <w:numFmt w:val="lowerRoman"/>
      <w:lvlText w:val="%6."/>
      <w:lvlJc w:val="right"/>
      <w:pPr>
        <w:ind w:left="4888" w:hanging="180"/>
      </w:pPr>
    </w:lvl>
    <w:lvl w:ilvl="6" w:tplc="0406000F" w:tentative="1">
      <w:start w:val="1"/>
      <w:numFmt w:val="decimal"/>
      <w:lvlText w:val="%7."/>
      <w:lvlJc w:val="left"/>
      <w:pPr>
        <w:ind w:left="5608" w:hanging="360"/>
      </w:pPr>
    </w:lvl>
    <w:lvl w:ilvl="7" w:tplc="04060019" w:tentative="1">
      <w:start w:val="1"/>
      <w:numFmt w:val="lowerLetter"/>
      <w:lvlText w:val="%8."/>
      <w:lvlJc w:val="left"/>
      <w:pPr>
        <w:ind w:left="6328" w:hanging="360"/>
      </w:pPr>
    </w:lvl>
    <w:lvl w:ilvl="8" w:tplc="0406001B" w:tentative="1">
      <w:start w:val="1"/>
      <w:numFmt w:val="lowerRoman"/>
      <w:lvlText w:val="%9."/>
      <w:lvlJc w:val="right"/>
      <w:pPr>
        <w:ind w:left="7048" w:hanging="180"/>
      </w:pPr>
    </w:lvl>
  </w:abstractNum>
  <w:abstractNum w:abstractNumId="21" w15:restartNumberingAfterBreak="0">
    <w:nsid w:val="327A2D45"/>
    <w:multiLevelType w:val="hybridMultilevel"/>
    <w:tmpl w:val="111E24B4"/>
    <w:lvl w:ilvl="0" w:tplc="04060019">
      <w:start w:val="1"/>
      <w:numFmt w:val="lowerLetter"/>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7CC3F10"/>
    <w:multiLevelType w:val="hybridMultilevel"/>
    <w:tmpl w:val="846C8836"/>
    <w:lvl w:ilvl="0" w:tplc="04060019">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23" w15:restartNumberingAfterBreak="0">
    <w:nsid w:val="38ED1DF9"/>
    <w:multiLevelType w:val="hybridMultilevel"/>
    <w:tmpl w:val="2998081E"/>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F1A1BE9"/>
    <w:multiLevelType w:val="hybridMultilevel"/>
    <w:tmpl w:val="1DC6B68C"/>
    <w:lvl w:ilvl="0" w:tplc="04060019">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25" w15:restartNumberingAfterBreak="0">
    <w:nsid w:val="3FDE6F40"/>
    <w:multiLevelType w:val="hybridMultilevel"/>
    <w:tmpl w:val="55C60B8C"/>
    <w:lvl w:ilvl="0" w:tplc="04060019">
      <w:start w:val="1"/>
      <w:numFmt w:val="lowerLetter"/>
      <w:lvlText w:val="%1."/>
      <w:lvlJc w:val="left"/>
      <w:pPr>
        <w:ind w:left="1288" w:hanging="360"/>
      </w:pPr>
    </w:lvl>
    <w:lvl w:ilvl="1" w:tplc="6F3A9494">
      <w:start w:val="1"/>
      <w:numFmt w:val="bullet"/>
      <w:lvlText w:val="-"/>
      <w:lvlJc w:val="left"/>
      <w:pPr>
        <w:ind w:left="2008" w:hanging="360"/>
      </w:pPr>
      <w:rPr>
        <w:rFonts w:ascii="Open Sans Light" w:eastAsiaTheme="minorHAnsi" w:hAnsi="Open Sans Light" w:cs="Open Sans Light" w:hint="default"/>
      </w:rPr>
    </w:lvl>
    <w:lvl w:ilvl="2" w:tplc="0406001B" w:tentative="1">
      <w:start w:val="1"/>
      <w:numFmt w:val="lowerRoman"/>
      <w:lvlText w:val="%3."/>
      <w:lvlJc w:val="right"/>
      <w:pPr>
        <w:ind w:left="2728" w:hanging="180"/>
      </w:pPr>
    </w:lvl>
    <w:lvl w:ilvl="3" w:tplc="0406000F" w:tentative="1">
      <w:start w:val="1"/>
      <w:numFmt w:val="decimal"/>
      <w:lvlText w:val="%4."/>
      <w:lvlJc w:val="left"/>
      <w:pPr>
        <w:ind w:left="3448" w:hanging="360"/>
      </w:pPr>
    </w:lvl>
    <w:lvl w:ilvl="4" w:tplc="04060019" w:tentative="1">
      <w:start w:val="1"/>
      <w:numFmt w:val="lowerLetter"/>
      <w:lvlText w:val="%5."/>
      <w:lvlJc w:val="left"/>
      <w:pPr>
        <w:ind w:left="4168" w:hanging="360"/>
      </w:pPr>
    </w:lvl>
    <w:lvl w:ilvl="5" w:tplc="0406001B" w:tentative="1">
      <w:start w:val="1"/>
      <w:numFmt w:val="lowerRoman"/>
      <w:lvlText w:val="%6."/>
      <w:lvlJc w:val="right"/>
      <w:pPr>
        <w:ind w:left="4888" w:hanging="180"/>
      </w:pPr>
    </w:lvl>
    <w:lvl w:ilvl="6" w:tplc="0406000F" w:tentative="1">
      <w:start w:val="1"/>
      <w:numFmt w:val="decimal"/>
      <w:lvlText w:val="%7."/>
      <w:lvlJc w:val="left"/>
      <w:pPr>
        <w:ind w:left="5608" w:hanging="360"/>
      </w:pPr>
    </w:lvl>
    <w:lvl w:ilvl="7" w:tplc="04060019" w:tentative="1">
      <w:start w:val="1"/>
      <w:numFmt w:val="lowerLetter"/>
      <w:lvlText w:val="%8."/>
      <w:lvlJc w:val="left"/>
      <w:pPr>
        <w:ind w:left="6328" w:hanging="360"/>
      </w:pPr>
    </w:lvl>
    <w:lvl w:ilvl="8" w:tplc="0406001B" w:tentative="1">
      <w:start w:val="1"/>
      <w:numFmt w:val="lowerRoman"/>
      <w:lvlText w:val="%9."/>
      <w:lvlJc w:val="right"/>
      <w:pPr>
        <w:ind w:left="7048" w:hanging="180"/>
      </w:pPr>
    </w:lvl>
  </w:abstractNum>
  <w:abstractNum w:abstractNumId="26" w15:restartNumberingAfterBreak="0">
    <w:nsid w:val="436E1B29"/>
    <w:multiLevelType w:val="hybridMultilevel"/>
    <w:tmpl w:val="1DC6B68C"/>
    <w:lvl w:ilvl="0" w:tplc="04060019">
      <w:start w:val="1"/>
      <w:numFmt w:val="lowerLetter"/>
      <w:lvlText w:val="%1."/>
      <w:lvlJc w:val="left"/>
      <w:pPr>
        <w:ind w:left="928" w:hanging="360"/>
      </w:pPr>
    </w:lvl>
    <w:lvl w:ilvl="1" w:tplc="04060019">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27" w15:restartNumberingAfterBreak="0">
    <w:nsid w:val="4A153B86"/>
    <w:multiLevelType w:val="hybridMultilevel"/>
    <w:tmpl w:val="1DC6B68C"/>
    <w:lvl w:ilvl="0" w:tplc="04060019">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28" w15:restartNumberingAfterBreak="0">
    <w:nsid w:val="4C676006"/>
    <w:multiLevelType w:val="hybridMultilevel"/>
    <w:tmpl w:val="E4D2EB1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F604D96"/>
    <w:multiLevelType w:val="hybridMultilevel"/>
    <w:tmpl w:val="F558E22E"/>
    <w:lvl w:ilvl="0" w:tplc="04060019">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1A851A4"/>
    <w:multiLevelType w:val="hybridMultilevel"/>
    <w:tmpl w:val="A2E6CFBC"/>
    <w:lvl w:ilvl="0" w:tplc="04060019">
      <w:start w:val="1"/>
      <w:numFmt w:val="lowerLetter"/>
      <w:lvlText w:val="%1."/>
      <w:lvlJc w:val="left"/>
      <w:pPr>
        <w:ind w:left="720" w:hanging="360"/>
      </w:pPr>
      <w:rPr>
        <w:rFonts w:hint="default"/>
      </w:rPr>
    </w:lvl>
    <w:lvl w:ilvl="1" w:tplc="6F30F950">
      <w:start w:val="46"/>
      <w:numFmt w:val="bullet"/>
      <w:lvlText w:val="-"/>
      <w:lvlJc w:val="left"/>
      <w:pPr>
        <w:ind w:left="1440" w:hanging="360"/>
      </w:pPr>
      <w:rPr>
        <w:rFonts w:ascii="Open Sans Light" w:eastAsiaTheme="minorHAnsi" w:hAnsi="Open Sans Light" w:cs="Open Sans Light"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A4A214B"/>
    <w:multiLevelType w:val="hybridMultilevel"/>
    <w:tmpl w:val="E9A065DE"/>
    <w:lvl w:ilvl="0" w:tplc="04060019">
      <w:start w:val="1"/>
      <w:numFmt w:val="lowerLetter"/>
      <w:lvlText w:val="%1."/>
      <w:lvlJc w:val="left"/>
      <w:pPr>
        <w:ind w:left="928" w:hanging="360"/>
      </w:pPr>
      <w:rPr>
        <w:rFonts w:hint="default"/>
      </w:r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32" w15:restartNumberingAfterBreak="0">
    <w:nsid w:val="5DCF069A"/>
    <w:multiLevelType w:val="hybridMultilevel"/>
    <w:tmpl w:val="DC1CB198"/>
    <w:lvl w:ilvl="0" w:tplc="65481A72">
      <w:start w:val="1"/>
      <w:numFmt w:val="lowerLetter"/>
      <w:lvlText w:val="%1."/>
      <w:lvlJc w:val="left"/>
      <w:pPr>
        <w:ind w:left="938" w:hanging="370"/>
      </w:pPr>
    </w:lvl>
    <w:lvl w:ilvl="1" w:tplc="6F3A9494">
      <w:start w:val="1"/>
      <w:numFmt w:val="bullet"/>
      <w:lvlText w:val="-"/>
      <w:lvlJc w:val="left"/>
      <w:pPr>
        <w:ind w:left="1648" w:hanging="360"/>
      </w:pPr>
      <w:rPr>
        <w:rFonts w:ascii="Open Sans Light" w:eastAsiaTheme="minorHAnsi" w:hAnsi="Open Sans Light" w:cs="Open Sans Light" w:hint="default"/>
      </w:rPr>
    </w:lvl>
    <w:lvl w:ilvl="2" w:tplc="0406001B">
      <w:start w:val="1"/>
      <w:numFmt w:val="lowerRoman"/>
      <w:lvlText w:val="%3."/>
      <w:lvlJc w:val="right"/>
      <w:pPr>
        <w:ind w:left="2368" w:hanging="180"/>
      </w:pPr>
    </w:lvl>
    <w:lvl w:ilvl="3" w:tplc="0406000F">
      <w:start w:val="1"/>
      <w:numFmt w:val="decimal"/>
      <w:lvlText w:val="%4."/>
      <w:lvlJc w:val="left"/>
      <w:pPr>
        <w:ind w:left="3088" w:hanging="360"/>
      </w:pPr>
    </w:lvl>
    <w:lvl w:ilvl="4" w:tplc="04060019">
      <w:start w:val="1"/>
      <w:numFmt w:val="lowerLetter"/>
      <w:lvlText w:val="%5."/>
      <w:lvlJc w:val="left"/>
      <w:pPr>
        <w:ind w:left="3808" w:hanging="360"/>
      </w:pPr>
    </w:lvl>
    <w:lvl w:ilvl="5" w:tplc="0406001B">
      <w:start w:val="1"/>
      <w:numFmt w:val="lowerRoman"/>
      <w:lvlText w:val="%6."/>
      <w:lvlJc w:val="right"/>
      <w:pPr>
        <w:ind w:left="4528" w:hanging="180"/>
      </w:pPr>
    </w:lvl>
    <w:lvl w:ilvl="6" w:tplc="0406000F">
      <w:start w:val="1"/>
      <w:numFmt w:val="decimal"/>
      <w:lvlText w:val="%7."/>
      <w:lvlJc w:val="left"/>
      <w:pPr>
        <w:ind w:left="5248" w:hanging="360"/>
      </w:pPr>
    </w:lvl>
    <w:lvl w:ilvl="7" w:tplc="04060019">
      <w:start w:val="1"/>
      <w:numFmt w:val="lowerLetter"/>
      <w:lvlText w:val="%8."/>
      <w:lvlJc w:val="left"/>
      <w:pPr>
        <w:ind w:left="5968" w:hanging="360"/>
      </w:pPr>
    </w:lvl>
    <w:lvl w:ilvl="8" w:tplc="0406001B">
      <w:start w:val="1"/>
      <w:numFmt w:val="lowerRoman"/>
      <w:lvlText w:val="%9."/>
      <w:lvlJc w:val="right"/>
      <w:pPr>
        <w:ind w:left="6688" w:hanging="180"/>
      </w:pPr>
    </w:lvl>
  </w:abstractNum>
  <w:abstractNum w:abstractNumId="33" w15:restartNumberingAfterBreak="0">
    <w:nsid w:val="61177D63"/>
    <w:multiLevelType w:val="hybridMultilevel"/>
    <w:tmpl w:val="14AEC6B2"/>
    <w:lvl w:ilvl="0" w:tplc="04060019">
      <w:start w:val="1"/>
      <w:numFmt w:val="lowerLetter"/>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509606D"/>
    <w:multiLevelType w:val="hybridMultilevel"/>
    <w:tmpl w:val="E77C0C5C"/>
    <w:lvl w:ilvl="0" w:tplc="04060019">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F6420EC"/>
    <w:multiLevelType w:val="hybridMultilevel"/>
    <w:tmpl w:val="1DC6B68C"/>
    <w:lvl w:ilvl="0" w:tplc="04060019">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36" w15:restartNumberingAfterBreak="0">
    <w:nsid w:val="6F9B67C1"/>
    <w:multiLevelType w:val="hybridMultilevel"/>
    <w:tmpl w:val="69AA0976"/>
    <w:lvl w:ilvl="0" w:tplc="04060019">
      <w:start w:val="1"/>
      <w:numFmt w:val="lowerLetter"/>
      <w:lvlText w:val="%1."/>
      <w:lvlJc w:val="left"/>
      <w:pPr>
        <w:tabs>
          <w:tab w:val="num" w:pos="720"/>
        </w:tabs>
        <w:ind w:left="720" w:hanging="360"/>
      </w:pPr>
      <w:rPr>
        <w:rFonts w:hint="default"/>
      </w:rPr>
    </w:lvl>
    <w:lvl w:ilvl="1" w:tplc="C96825C8" w:tentative="1">
      <w:start w:val="1"/>
      <w:numFmt w:val="bullet"/>
      <w:lvlText w:val="•"/>
      <w:lvlJc w:val="left"/>
      <w:pPr>
        <w:tabs>
          <w:tab w:val="num" w:pos="1440"/>
        </w:tabs>
        <w:ind w:left="1440" w:hanging="360"/>
      </w:pPr>
      <w:rPr>
        <w:rFonts w:ascii="Arial" w:hAnsi="Arial" w:hint="default"/>
      </w:rPr>
    </w:lvl>
    <w:lvl w:ilvl="2" w:tplc="C82A847A" w:tentative="1">
      <w:start w:val="1"/>
      <w:numFmt w:val="bullet"/>
      <w:lvlText w:val="•"/>
      <w:lvlJc w:val="left"/>
      <w:pPr>
        <w:tabs>
          <w:tab w:val="num" w:pos="2160"/>
        </w:tabs>
        <w:ind w:left="2160" w:hanging="360"/>
      </w:pPr>
      <w:rPr>
        <w:rFonts w:ascii="Arial" w:hAnsi="Arial" w:hint="default"/>
      </w:rPr>
    </w:lvl>
    <w:lvl w:ilvl="3" w:tplc="A94C35F2" w:tentative="1">
      <w:start w:val="1"/>
      <w:numFmt w:val="bullet"/>
      <w:lvlText w:val="•"/>
      <w:lvlJc w:val="left"/>
      <w:pPr>
        <w:tabs>
          <w:tab w:val="num" w:pos="2880"/>
        </w:tabs>
        <w:ind w:left="2880" w:hanging="360"/>
      </w:pPr>
      <w:rPr>
        <w:rFonts w:ascii="Arial" w:hAnsi="Arial" w:hint="default"/>
      </w:rPr>
    </w:lvl>
    <w:lvl w:ilvl="4" w:tplc="F2F2F90C" w:tentative="1">
      <w:start w:val="1"/>
      <w:numFmt w:val="bullet"/>
      <w:lvlText w:val="•"/>
      <w:lvlJc w:val="left"/>
      <w:pPr>
        <w:tabs>
          <w:tab w:val="num" w:pos="3600"/>
        </w:tabs>
        <w:ind w:left="3600" w:hanging="360"/>
      </w:pPr>
      <w:rPr>
        <w:rFonts w:ascii="Arial" w:hAnsi="Arial" w:hint="default"/>
      </w:rPr>
    </w:lvl>
    <w:lvl w:ilvl="5" w:tplc="DFC64928" w:tentative="1">
      <w:start w:val="1"/>
      <w:numFmt w:val="bullet"/>
      <w:lvlText w:val="•"/>
      <w:lvlJc w:val="left"/>
      <w:pPr>
        <w:tabs>
          <w:tab w:val="num" w:pos="4320"/>
        </w:tabs>
        <w:ind w:left="4320" w:hanging="360"/>
      </w:pPr>
      <w:rPr>
        <w:rFonts w:ascii="Arial" w:hAnsi="Arial" w:hint="default"/>
      </w:rPr>
    </w:lvl>
    <w:lvl w:ilvl="6" w:tplc="FC781DDE" w:tentative="1">
      <w:start w:val="1"/>
      <w:numFmt w:val="bullet"/>
      <w:lvlText w:val="•"/>
      <w:lvlJc w:val="left"/>
      <w:pPr>
        <w:tabs>
          <w:tab w:val="num" w:pos="5040"/>
        </w:tabs>
        <w:ind w:left="5040" w:hanging="360"/>
      </w:pPr>
      <w:rPr>
        <w:rFonts w:ascii="Arial" w:hAnsi="Arial" w:hint="default"/>
      </w:rPr>
    </w:lvl>
    <w:lvl w:ilvl="7" w:tplc="2EACC756" w:tentative="1">
      <w:start w:val="1"/>
      <w:numFmt w:val="bullet"/>
      <w:lvlText w:val="•"/>
      <w:lvlJc w:val="left"/>
      <w:pPr>
        <w:tabs>
          <w:tab w:val="num" w:pos="5760"/>
        </w:tabs>
        <w:ind w:left="5760" w:hanging="360"/>
      </w:pPr>
      <w:rPr>
        <w:rFonts w:ascii="Arial" w:hAnsi="Arial" w:hint="default"/>
      </w:rPr>
    </w:lvl>
    <w:lvl w:ilvl="8" w:tplc="B330A5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C6571DB"/>
    <w:multiLevelType w:val="hybridMultilevel"/>
    <w:tmpl w:val="80AA5AD2"/>
    <w:lvl w:ilvl="0" w:tplc="04060019">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8"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39"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39"/>
  </w:num>
  <w:num w:numId="2">
    <w:abstractNumId w:val="7"/>
  </w:num>
  <w:num w:numId="3">
    <w:abstractNumId w:val="6"/>
  </w:num>
  <w:num w:numId="4">
    <w:abstractNumId w:val="5"/>
  </w:num>
  <w:num w:numId="5">
    <w:abstractNumId w:val="4"/>
  </w:num>
  <w:num w:numId="6">
    <w:abstractNumId w:val="38"/>
  </w:num>
  <w:num w:numId="7">
    <w:abstractNumId w:val="3"/>
  </w:num>
  <w:num w:numId="8">
    <w:abstractNumId w:val="2"/>
  </w:num>
  <w:num w:numId="9">
    <w:abstractNumId w:val="1"/>
  </w:num>
  <w:num w:numId="10">
    <w:abstractNumId w:val="0"/>
  </w:num>
  <w:num w:numId="11">
    <w:abstractNumId w:val="8"/>
  </w:num>
  <w:num w:numId="12">
    <w:abstractNumId w:val="38"/>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39"/>
  </w:num>
  <w:num w:numId="14">
    <w:abstractNumId w:val="38"/>
  </w:num>
  <w:num w:numId="15">
    <w:abstractNumId w:val="18"/>
  </w:num>
  <w:num w:numId="16">
    <w:abstractNumId w:val="20"/>
  </w:num>
  <w:num w:numId="17">
    <w:abstractNumId w:val="33"/>
  </w:num>
  <w:num w:numId="18">
    <w:abstractNumId w:val="11"/>
  </w:num>
  <w:num w:numId="19">
    <w:abstractNumId w:val="19"/>
  </w:num>
  <w:num w:numId="20">
    <w:abstractNumId w:val="10"/>
  </w:num>
  <w:num w:numId="21">
    <w:abstractNumId w:val="21"/>
  </w:num>
  <w:num w:numId="22">
    <w:abstractNumId w:val="13"/>
  </w:num>
  <w:num w:numId="23">
    <w:abstractNumId w:val="16"/>
  </w:num>
  <w:num w:numId="24">
    <w:abstractNumId w:val="14"/>
  </w:num>
  <w:num w:numId="25">
    <w:abstractNumId w:val="27"/>
  </w:num>
  <w:num w:numId="26">
    <w:abstractNumId w:val="26"/>
  </w:num>
  <w:num w:numId="27">
    <w:abstractNumId w:val="35"/>
  </w:num>
  <w:num w:numId="28">
    <w:abstractNumId w:val="24"/>
  </w:num>
  <w:num w:numId="29">
    <w:abstractNumId w:val="15"/>
  </w:num>
  <w:num w:numId="30">
    <w:abstractNumId w:val="28"/>
  </w:num>
  <w:num w:numId="31">
    <w:abstractNumId w:val="12"/>
  </w:num>
  <w:num w:numId="32">
    <w:abstractNumId w:val="17"/>
  </w:num>
  <w:num w:numId="33">
    <w:abstractNumId w:val="29"/>
  </w:num>
  <w:num w:numId="34">
    <w:abstractNumId w:val="25"/>
  </w:num>
  <w:num w:numId="35">
    <w:abstractNumId w:val="32"/>
  </w:num>
  <w:num w:numId="36">
    <w:abstractNumId w:val="30"/>
  </w:num>
  <w:num w:numId="37">
    <w:abstractNumId w:val="37"/>
  </w:num>
  <w:num w:numId="38">
    <w:abstractNumId w:val="36"/>
  </w:num>
  <w:num w:numId="39">
    <w:abstractNumId w:val="34"/>
  </w:num>
  <w:num w:numId="40">
    <w:abstractNumId w:val="31"/>
  </w:num>
  <w:num w:numId="41">
    <w:abstractNumId w:val="9"/>
  </w:num>
  <w:num w:numId="42">
    <w:abstractNumId w:val="22"/>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0B52"/>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346DA"/>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76D17"/>
    <w:rsid w:val="003B0D54"/>
    <w:rsid w:val="003B35B0"/>
    <w:rsid w:val="003C3569"/>
    <w:rsid w:val="003C4F9F"/>
    <w:rsid w:val="003C60F1"/>
    <w:rsid w:val="00407887"/>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1D7B"/>
    <w:rsid w:val="005C29DF"/>
    <w:rsid w:val="005C3C9B"/>
    <w:rsid w:val="005C5F97"/>
    <w:rsid w:val="005C769C"/>
    <w:rsid w:val="005C776A"/>
    <w:rsid w:val="005E1A33"/>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591B"/>
    <w:rsid w:val="00706E32"/>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261D"/>
    <w:rsid w:val="008E3D2B"/>
    <w:rsid w:val="008E5A6D"/>
    <w:rsid w:val="008F32DF"/>
    <w:rsid w:val="008F3CFC"/>
    <w:rsid w:val="008F4D20"/>
    <w:rsid w:val="009079D5"/>
    <w:rsid w:val="00940804"/>
    <w:rsid w:val="00941277"/>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1100F"/>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C0433E"/>
    <w:rsid w:val="00C357EF"/>
    <w:rsid w:val="00C41E04"/>
    <w:rsid w:val="00C439CB"/>
    <w:rsid w:val="00C64739"/>
    <w:rsid w:val="00C97A9B"/>
    <w:rsid w:val="00CA0183"/>
    <w:rsid w:val="00CA0A7D"/>
    <w:rsid w:val="00CA4D3E"/>
    <w:rsid w:val="00CA4E77"/>
    <w:rsid w:val="00CB3EFE"/>
    <w:rsid w:val="00CC209F"/>
    <w:rsid w:val="00CC6322"/>
    <w:rsid w:val="00CD591B"/>
    <w:rsid w:val="00CE5168"/>
    <w:rsid w:val="00CE57E0"/>
    <w:rsid w:val="00D23C1F"/>
    <w:rsid w:val="00D273BA"/>
    <w:rsid w:val="00D27D0E"/>
    <w:rsid w:val="00D3752F"/>
    <w:rsid w:val="00D44F3C"/>
    <w:rsid w:val="00D53670"/>
    <w:rsid w:val="00D54CAF"/>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67757"/>
    <w:rsid w:val="00E9405E"/>
    <w:rsid w:val="00ED6EC5"/>
    <w:rsid w:val="00EF474E"/>
    <w:rsid w:val="00F0152B"/>
    <w:rsid w:val="00F04788"/>
    <w:rsid w:val="00F13389"/>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8D3DA"/>
  <w15:docId w15:val="{9ED43F77-416B-4F0E-88DE-63DB5BE27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qFormat="1"/>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9"/>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9"/>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rsid w:val="00CC209F"/>
    <w:rPr>
      <w:rFonts w:eastAsiaTheme="majorEastAsia" w:cstheme="majorBidi"/>
      <w:b/>
      <w:kern w:val="28"/>
      <w:sz w:val="40"/>
      <w:szCs w:val="52"/>
    </w:rPr>
  </w:style>
  <w:style w:type="paragraph" w:styleId="Undertitel">
    <w:name w:val="Subtitle"/>
    <w:basedOn w:val="Normal"/>
    <w:next w:val="Normal"/>
    <w:link w:val="UndertitelTegn"/>
    <w:uiPriority w:val="19"/>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rsid w:val="00CC209F"/>
    <w:rPr>
      <w:rFonts w:eastAsiaTheme="majorEastAsia" w:cstheme="majorBidi"/>
      <w:b/>
      <w:iCs/>
      <w:sz w:val="36"/>
      <w:szCs w:val="24"/>
    </w:rPr>
  </w:style>
  <w:style w:type="character" w:styleId="Svagfremhvning">
    <w:name w:val="Subtle Emphasis"/>
    <w:basedOn w:val="Standardskrifttypeiafsnit"/>
    <w:uiPriority w:val="99"/>
    <w:qFormat/>
    <w:rsid w:val="00CC209F"/>
    <w:rPr>
      <w:i/>
      <w:iCs/>
      <w:color w:val="808080" w:themeColor="text1" w:themeTint="7F"/>
    </w:rPr>
  </w:style>
  <w:style w:type="character" w:styleId="Kraftigfremhvning">
    <w:name w:val="Intense Emphasis"/>
    <w:basedOn w:val="Standardskrifttypeiafsnit"/>
    <w:uiPriority w:val="19"/>
    <w:rsid w:val="00CC209F"/>
    <w:rPr>
      <w:b/>
      <w:bCs/>
      <w:i/>
      <w:iCs/>
      <w:color w:val="auto"/>
    </w:rPr>
  </w:style>
  <w:style w:type="character" w:styleId="Strk">
    <w:name w:val="Strong"/>
    <w:basedOn w:val="Standardskrifttypeiafsnit"/>
    <w:uiPriority w:val="22"/>
    <w:qFormat/>
    <w:rsid w:val="00CC209F"/>
    <w:rPr>
      <w:b/>
      <w:bCs/>
    </w:rPr>
  </w:style>
  <w:style w:type="paragraph" w:styleId="Strktcitat">
    <w:name w:val="Intense Quote"/>
    <w:basedOn w:val="Normal"/>
    <w:next w:val="Normal"/>
    <w:link w:val="StrktcitatTegn"/>
    <w:uiPriority w:val="19"/>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rsid w:val="00CC209F"/>
    <w:rPr>
      <w:b/>
      <w:bCs/>
      <w:i/>
      <w:iCs/>
      <w:sz w:val="22"/>
    </w:rPr>
  </w:style>
  <w:style w:type="character" w:styleId="Svaghenvisning">
    <w:name w:val="Subtle Reference"/>
    <w:basedOn w:val="Standardskrifttypeiafsnit"/>
    <w:uiPriority w:val="99"/>
    <w:qFormat/>
    <w:rsid w:val="00CC209F"/>
    <w:rPr>
      <w:caps w:val="0"/>
      <w:smallCaps w:val="0"/>
      <w:color w:val="auto"/>
      <w:u w:val="single"/>
    </w:rPr>
  </w:style>
  <w:style w:type="character" w:styleId="Kraftighenvisning">
    <w:name w:val="Intense Reference"/>
    <w:basedOn w:val="Standardskrifttypeiafsnit"/>
    <w:uiPriority w:val="99"/>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rsid w:val="00CC209F"/>
    <w:pPr>
      <w:ind w:right="567"/>
    </w:pPr>
    <w:rPr>
      <w:b/>
    </w:rPr>
  </w:style>
  <w:style w:type="paragraph" w:styleId="Indholdsfortegnelse2">
    <w:name w:val="toc 2"/>
    <w:basedOn w:val="Normal"/>
    <w:next w:val="Normal"/>
    <w:uiPriority w:val="39"/>
    <w:rsid w:val="00CC209F"/>
    <w:pPr>
      <w:ind w:right="567"/>
    </w:pPr>
  </w:style>
  <w:style w:type="paragraph" w:styleId="Indholdsfortegnelse3">
    <w:name w:val="toc 3"/>
    <w:basedOn w:val="Normal"/>
    <w:next w:val="Normal"/>
    <w:uiPriority w:val="39"/>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qFormat/>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rsid w:val="00CC209F"/>
    <w:rPr>
      <w:b/>
      <w:iCs/>
      <w:color w:val="000000" w:themeColor="text1"/>
      <w:sz w:val="22"/>
    </w:rPr>
  </w:style>
  <w:style w:type="character" w:styleId="Bogenstitel">
    <w:name w:val="Book Title"/>
    <w:basedOn w:val="Standardskrifttypeiafsnit"/>
    <w:uiPriority w:val="99"/>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9079D5"/>
    <w:pPr>
      <w:overflowPunct w:val="0"/>
      <w:autoSpaceDE w:val="0"/>
      <w:autoSpaceDN w:val="0"/>
      <w:adjustRightInd w:val="0"/>
      <w:spacing w:before="240" w:after="240" w:line="240" w:lineRule="auto"/>
      <w:ind w:left="720"/>
      <w:contextualSpacing/>
      <w:jc w:val="both"/>
      <w:textAlignment w:val="baseline"/>
    </w:pPr>
    <w:rPr>
      <w:rFonts w:ascii="Times New Roman" w:eastAsia="Times New Roman" w:hAnsi="Times New Roman" w:cs="Times New Roman"/>
      <w:sz w:val="26"/>
      <w:lang w:eastAsia="da-DK"/>
    </w:rPr>
  </w:style>
  <w:style w:type="character" w:styleId="Fodnotehenvisning">
    <w:name w:val="footnote reference"/>
    <w:basedOn w:val="Standardskrifttypeiafsnit"/>
    <w:uiPriority w:val="21"/>
    <w:semiHidden/>
    <w:unhideWhenUsed/>
    <w:rsid w:val="009079D5"/>
    <w:rPr>
      <w:vertAlign w:val="superscript"/>
    </w:rPr>
  </w:style>
  <w:style w:type="character" w:styleId="Hyperlink">
    <w:name w:val="Hyperlink"/>
    <w:basedOn w:val="Standardskrifttypeiafsnit"/>
    <w:uiPriority w:val="99"/>
    <w:unhideWhenUsed/>
    <w:rsid w:val="009079D5"/>
    <w:rPr>
      <w:color w:val="0000FF" w:themeColor="hyperlink"/>
      <w:u w:val="single"/>
    </w:rPr>
  </w:style>
  <w:style w:type="character" w:styleId="Kommentarhenvisning">
    <w:name w:val="annotation reference"/>
    <w:basedOn w:val="Standardskrifttypeiafsnit"/>
    <w:uiPriority w:val="99"/>
    <w:semiHidden/>
    <w:unhideWhenUsed/>
    <w:rsid w:val="009079D5"/>
    <w:rPr>
      <w:sz w:val="16"/>
      <w:szCs w:val="16"/>
    </w:rPr>
  </w:style>
  <w:style w:type="paragraph" w:styleId="Kommentartekst">
    <w:name w:val="annotation text"/>
    <w:basedOn w:val="Normal"/>
    <w:link w:val="KommentartekstTegn"/>
    <w:uiPriority w:val="99"/>
    <w:unhideWhenUsed/>
    <w:rsid w:val="009079D5"/>
    <w:pPr>
      <w:spacing w:line="240" w:lineRule="auto"/>
    </w:pPr>
  </w:style>
  <w:style w:type="character" w:customStyle="1" w:styleId="KommentartekstTegn">
    <w:name w:val="Kommentartekst Tegn"/>
    <w:basedOn w:val="Standardskrifttypeiafsnit"/>
    <w:link w:val="Kommentartekst"/>
    <w:uiPriority w:val="99"/>
    <w:rsid w:val="009079D5"/>
  </w:style>
  <w:style w:type="paragraph" w:styleId="Kommentaremne">
    <w:name w:val="annotation subject"/>
    <w:basedOn w:val="Kommentartekst"/>
    <w:next w:val="Kommentartekst"/>
    <w:link w:val="KommentaremneTegn"/>
    <w:uiPriority w:val="99"/>
    <w:semiHidden/>
    <w:unhideWhenUsed/>
    <w:rsid w:val="009079D5"/>
    <w:rPr>
      <w:b/>
      <w:bCs/>
    </w:rPr>
  </w:style>
  <w:style w:type="character" w:customStyle="1" w:styleId="KommentaremneTegn">
    <w:name w:val="Kommentaremne Tegn"/>
    <w:basedOn w:val="KommentartekstTegn"/>
    <w:link w:val="Kommentaremne"/>
    <w:uiPriority w:val="99"/>
    <w:semiHidden/>
    <w:rsid w:val="009079D5"/>
    <w:rPr>
      <w:b/>
      <w:bCs/>
    </w:rPr>
  </w:style>
  <w:style w:type="paragraph" w:styleId="Markeringsbobletekst">
    <w:name w:val="Balloon Text"/>
    <w:basedOn w:val="Normal"/>
    <w:link w:val="MarkeringsbobletekstTegn"/>
    <w:uiPriority w:val="99"/>
    <w:semiHidden/>
    <w:unhideWhenUsed/>
    <w:rsid w:val="009079D5"/>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079D5"/>
    <w:rPr>
      <w:rFonts w:ascii="Segoe UI" w:hAnsi="Segoe UI" w:cs="Segoe UI"/>
      <w:sz w:val="18"/>
      <w:szCs w:val="18"/>
    </w:rPr>
  </w:style>
  <w:style w:type="character" w:styleId="BesgtLink">
    <w:name w:val="FollowedHyperlink"/>
    <w:basedOn w:val="Standardskrifttypeiafsnit"/>
    <w:uiPriority w:val="21"/>
    <w:semiHidden/>
    <w:unhideWhenUsed/>
    <w:rsid w:val="009079D5"/>
    <w:rPr>
      <w:color w:val="800080" w:themeColor="followedHyperlink"/>
      <w:u w:val="single"/>
    </w:rPr>
  </w:style>
  <w:style w:type="paragraph" w:styleId="Korrektur">
    <w:name w:val="Revision"/>
    <w:hidden/>
    <w:uiPriority w:val="99"/>
    <w:semiHidden/>
    <w:rsid w:val="009079D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t.dk/samling/20201/almdel/sou/spm/655/svar/1794578/241701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herningmodellen.herning.dk/herningmodellen-boern-og-unge" TargetMode="External"/><Relationship Id="rId3" Type="http://schemas.openxmlformats.org/officeDocument/2006/relationships/hyperlink" Target="https://sm.dk/danmarkskort/2021" TargetMode="External"/><Relationship Id="rId7" Type="http://schemas.openxmlformats.org/officeDocument/2006/relationships/hyperlink" Target="https://handicap.dk/arbejder-vi-for/vidensbank/dhs-undersoegelse-om-stoette-til-mennesker-med-handicap-2020" TargetMode="External"/><Relationship Id="rId2" Type="http://schemas.openxmlformats.org/officeDocument/2006/relationships/hyperlink" Target="https://www.vive.dk/da/udgivelser/inddragelse-og-tillid-i-moedet-mellem-kommunerne-og-borgere-med-handicap-16095/" TargetMode="External"/><Relationship Id="rId1" Type="http://schemas.openxmlformats.org/officeDocument/2006/relationships/hyperlink" Target="https://www.vive.dk/da/udgivelser/mennesker-med-handicap-16726/" TargetMode="External"/><Relationship Id="rId6" Type="http://schemas.openxmlformats.org/officeDocument/2006/relationships/hyperlink" Target="https://socialraadgiverne.dk/travlhed-og-presset-oekonomi-gaar-ud-over-borgere-med-handicap/" TargetMode="External"/><Relationship Id="rId5" Type="http://schemas.openxmlformats.org/officeDocument/2006/relationships/hyperlink" Target="https://www.altinget.dk/boern/artikel/7-ud-af-10-lokalpolitikere-i-min-kommune-trumfer-oekonomi-jaevnligt-hensynet-til-borgernes-behov" TargetMode="External"/><Relationship Id="rId4" Type="http://schemas.openxmlformats.org/officeDocument/2006/relationships/hyperlink" Target="https://rigsrevisionen.dk/revisionssager-arkiv/2022/mar/beretning-om-forvaltningen-af-handicapomraadet" TargetMode="External"/><Relationship Id="rId9" Type="http://schemas.openxmlformats.org/officeDocument/2006/relationships/hyperlink" Target="https://metodecentret.dk/taettere-paa-familien-fra-familiernes-perspektiv/"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811B95BA734F4EA73692BAC5E25537" ma:contentTypeVersion="1" ma:contentTypeDescription="Create a new document." ma:contentTypeScope="" ma:versionID="75d976f13118b9c591561219d66a7215">
  <xsd:schema xmlns:xsd="http://www.w3.org/2001/XMLSchema" xmlns:xs="http://www.w3.org/2001/XMLSchema" xmlns:p="http://schemas.microsoft.com/office/2006/metadata/properties" xmlns:ns2="32d8aa95-7928-449c-92de-e07311e6ad27" targetNamespace="http://schemas.microsoft.com/office/2006/metadata/properties" ma:root="true" ma:fieldsID="0982413ae5d163fbc8eb654158a8a76f" ns2:_="">
    <xsd:import namespace="32d8aa95-7928-449c-92de-e07311e6ad27"/>
    <xsd:element name="properties">
      <xsd:complexType>
        <xsd:sequence>
          <xsd:element name="documentManagement">
            <xsd:complexType>
              <xsd:all>
                <xsd:element ref="ns2:TSMoveSe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8aa95-7928-449c-92de-e07311e6ad27" elementFormDefault="qualified">
    <xsd:import namespace="http://schemas.microsoft.com/office/2006/documentManagement/types"/>
    <xsd:import namespace="http://schemas.microsoft.com/office/infopath/2007/PartnerControls"/>
    <xsd:element name="TSMoveSetID" ma:index="8" nillable="true" ma:displayName="TSMoveSetID" ma:description="This field contains document metadata from TeamShare" ma:internalName="TSMoveSetI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SMoveSetID xmlns="32d8aa95-7928-449c-92de-e07311e6ad27" xsi:nil="true"/>
  </documentManagement>
</p:properties>
</file>

<file path=customXml/itemProps1.xml><?xml version="1.0" encoding="utf-8"?>
<ds:datastoreItem xmlns:ds="http://schemas.openxmlformats.org/officeDocument/2006/customXml" ds:itemID="{3E97CFC1-09A3-4320-AE58-EFD004F07245}">
  <ds:schemaRefs>
    <ds:schemaRef ds:uri="http://schemas.microsoft.com/sharepoint/v3/contenttype/forms"/>
  </ds:schemaRefs>
</ds:datastoreItem>
</file>

<file path=customXml/itemProps2.xml><?xml version="1.0" encoding="utf-8"?>
<ds:datastoreItem xmlns:ds="http://schemas.openxmlformats.org/officeDocument/2006/customXml" ds:itemID="{4430D854-8805-4E70-9A38-8B9763E2E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d8aa95-7928-449c-92de-e07311e6a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1EAC3E-20D4-4FA0-AD4E-A43CC917F45C}">
  <ds:schemaRefs>
    <ds:schemaRef ds:uri="http://schemas.microsoft.com/office/2006/metadata/properties"/>
    <ds:schemaRef ds:uri="http://schemas.microsoft.com/office/infopath/2007/PartnerControls"/>
    <ds:schemaRef ds:uri="32d8aa95-7928-449c-92de-e07311e6ad27"/>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13</Pages>
  <Words>4423</Words>
  <Characters>26986</Characters>
  <Application>Microsoft Office Word</Application>
  <DocSecurity>0</DocSecurity>
  <Lines>224</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31347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Tanya Root Petersen</cp:lastModifiedBy>
  <cp:revision>2</cp:revision>
  <dcterms:created xsi:type="dcterms:W3CDTF">2022-05-16T07:44:00Z</dcterms:created>
  <dcterms:modified xsi:type="dcterms:W3CDTF">2022-05-16T07:44:00Z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0x010100AB811B95BA734F4EA73692BAC5E25537</vt:lpwstr>
  </property>
</Properties>
</file>