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B1A4F" w14:textId="77777777" w:rsidR="00837245" w:rsidRPr="00DC39F3" w:rsidRDefault="00EE0D1C" w:rsidP="00837245">
      <w:pPr>
        <w:jc w:val="left"/>
        <w:rPr>
          <w:sz w:val="20"/>
        </w:rPr>
      </w:pPr>
      <w:r w:rsidRPr="00DC39F3">
        <w:rPr>
          <w:sz w:val="20"/>
        </w:rPr>
        <w:t xml:space="preserve">Sag </w:t>
      </w:r>
      <w:bookmarkStart w:id="0" w:name="sagsnummer"/>
      <w:r w:rsidRPr="00DC39F3">
        <w:rPr>
          <w:sz w:val="20"/>
        </w:rPr>
        <w:t>20-2018-00568</w:t>
      </w:r>
      <w:bookmarkEnd w:id="0"/>
      <w:r w:rsidRPr="00DC39F3">
        <w:rPr>
          <w:sz w:val="20"/>
        </w:rPr>
        <w:t xml:space="preserve"> – Dok. </w:t>
      </w:r>
      <w:bookmarkStart w:id="1" w:name="dokumentnr"/>
      <w:r w:rsidRPr="00DC39F3">
        <w:rPr>
          <w:sz w:val="20"/>
        </w:rPr>
        <w:t>382078</w:t>
      </w:r>
      <w:bookmarkEnd w:id="1"/>
      <w:r w:rsidRPr="00DC39F3">
        <w:rPr>
          <w:sz w:val="20"/>
        </w:rPr>
        <w:t>/</w:t>
      </w:r>
      <w:bookmarkStart w:id="2" w:name="brugerinitialer"/>
      <w:r w:rsidRPr="00DC39F3">
        <w:rPr>
          <w:sz w:val="20"/>
        </w:rPr>
        <w:t>kwk_dh</w:t>
      </w:r>
      <w:bookmarkEnd w:id="2"/>
    </w:p>
    <w:p w14:paraId="1A6B1A50" w14:textId="0DF52717" w:rsidR="00837245" w:rsidRDefault="00837245" w:rsidP="00837245"/>
    <w:p w14:paraId="5E2725ED" w14:textId="77777777" w:rsidR="00750E2F" w:rsidRPr="005708BB" w:rsidRDefault="00750E2F" w:rsidP="00750E2F">
      <w:pPr>
        <w:pStyle w:val="Default"/>
        <w:rPr>
          <w:b/>
        </w:rPr>
      </w:pPr>
      <w:r w:rsidRPr="005708BB">
        <w:rPr>
          <w:b/>
        </w:rPr>
        <w:t>Kulturministeriet</w:t>
      </w:r>
    </w:p>
    <w:p w14:paraId="1369E7C9" w14:textId="1AE594A4" w:rsidR="00750E2F" w:rsidRDefault="00F65E58" w:rsidP="005708BB">
      <w:pPr>
        <w:pStyle w:val="Default"/>
      </w:pPr>
      <w:hyperlink r:id="rId11" w:history="1">
        <w:r w:rsidR="005708BB" w:rsidRPr="009111F0">
          <w:rPr>
            <w:rStyle w:val="Hyperlink"/>
          </w:rPr>
          <w:t>ftm@kum.dk</w:t>
        </w:r>
      </w:hyperlink>
      <w:r w:rsidR="00750E2F" w:rsidRPr="005708BB">
        <w:t xml:space="preserve"> </w:t>
      </w:r>
    </w:p>
    <w:p w14:paraId="238F9443" w14:textId="15AFA47B" w:rsidR="00750E2F" w:rsidRDefault="00750E2F" w:rsidP="00837245"/>
    <w:p w14:paraId="7F69449A" w14:textId="0F69D012" w:rsidR="005708BB" w:rsidRDefault="005708BB" w:rsidP="005708BB">
      <w:pPr>
        <w:jc w:val="right"/>
      </w:pPr>
      <w:r>
        <w:t>Høje-Taastrup d. 20. august 2018</w:t>
      </w:r>
    </w:p>
    <w:p w14:paraId="22A7A698" w14:textId="0F69D012" w:rsidR="00750E2F" w:rsidRPr="00DC39F3" w:rsidRDefault="00750E2F" w:rsidP="00837245"/>
    <w:p w14:paraId="1A6B1A52" w14:textId="19419DB6" w:rsidR="00837245" w:rsidRPr="006E06F1" w:rsidRDefault="00E11742" w:rsidP="002E6939">
      <w:pPr>
        <w:pBdr>
          <w:bottom w:val="single" w:sz="4" w:space="1" w:color="auto"/>
        </w:pBdr>
        <w:jc w:val="left"/>
        <w:rPr>
          <w:rFonts w:ascii="Arial" w:hAnsi="Arial" w:cs="Arial"/>
          <w:b/>
          <w:sz w:val="36"/>
          <w:szCs w:val="36"/>
        </w:rPr>
      </w:pPr>
      <w:bookmarkStart w:id="3" w:name="dokumenttitel"/>
      <w:r>
        <w:rPr>
          <w:rFonts w:ascii="Arial" w:hAnsi="Arial" w:cs="Arial"/>
          <w:b/>
          <w:sz w:val="36"/>
          <w:szCs w:val="36"/>
        </w:rPr>
        <w:t>H</w:t>
      </w:r>
      <w:r w:rsidR="00EE0D1C" w:rsidRPr="006E06F1">
        <w:rPr>
          <w:rFonts w:ascii="Arial" w:hAnsi="Arial" w:cs="Arial"/>
          <w:b/>
          <w:sz w:val="36"/>
          <w:szCs w:val="36"/>
        </w:rPr>
        <w:t xml:space="preserve">øringssvar </w:t>
      </w:r>
      <w:r w:rsidR="00750E2F">
        <w:rPr>
          <w:rFonts w:ascii="Arial" w:hAnsi="Arial" w:cs="Arial"/>
          <w:b/>
          <w:sz w:val="36"/>
          <w:szCs w:val="36"/>
        </w:rPr>
        <w:t xml:space="preserve">– </w:t>
      </w:r>
      <w:r w:rsidR="00EE0D1C" w:rsidRPr="006E06F1">
        <w:rPr>
          <w:rFonts w:ascii="Arial" w:hAnsi="Arial" w:cs="Arial"/>
          <w:b/>
          <w:sz w:val="36"/>
          <w:szCs w:val="36"/>
        </w:rPr>
        <w:t>forslag til lov om ændring af folkehøjskoler</w:t>
      </w:r>
      <w:bookmarkEnd w:id="3"/>
    </w:p>
    <w:p w14:paraId="1A6B1A53" w14:textId="77777777" w:rsidR="00837245" w:rsidRPr="0091390D" w:rsidRDefault="00837245" w:rsidP="00837245"/>
    <w:p w14:paraId="1A6B1A54" w14:textId="16F23798" w:rsidR="00837245" w:rsidRDefault="00E11742" w:rsidP="00837245">
      <w:r>
        <w:t>Danske Handicaporganisationer (DH) har følgende bemærkninger til forslag til l</w:t>
      </w:r>
      <w:r w:rsidR="005708BB">
        <w:t>ov om ændring af folkehøjskoler:</w:t>
      </w:r>
    </w:p>
    <w:p w14:paraId="2D77131A" w14:textId="77777777" w:rsidR="00E11742" w:rsidRDefault="00E11742" w:rsidP="00E11742">
      <w:pPr>
        <w:rPr>
          <w:szCs w:val="26"/>
        </w:rPr>
      </w:pPr>
    </w:p>
    <w:p w14:paraId="1A1E4A92" w14:textId="5FFF70D2" w:rsidR="00E11742" w:rsidRPr="00891868" w:rsidRDefault="00E11742" w:rsidP="00E11742">
      <w:pPr>
        <w:rPr>
          <w:szCs w:val="26"/>
        </w:rPr>
      </w:pPr>
      <w:r>
        <w:rPr>
          <w:szCs w:val="26"/>
        </w:rPr>
        <w:t>Den første del af l</w:t>
      </w:r>
      <w:r w:rsidRPr="00891868">
        <w:rPr>
          <w:szCs w:val="26"/>
        </w:rPr>
        <w:t xml:space="preserve">ovforslaget giver mulighed for åbning af nye </w:t>
      </w:r>
      <w:r>
        <w:rPr>
          <w:szCs w:val="26"/>
        </w:rPr>
        <w:t xml:space="preserve">seniorhøjskoler. </w:t>
      </w:r>
      <w:r w:rsidRPr="00891868">
        <w:rPr>
          <w:szCs w:val="26"/>
        </w:rPr>
        <w:t>Det er positivt, at der fra ministeriets side er et ønske om at give flere seniorer m</w:t>
      </w:r>
      <w:r>
        <w:rPr>
          <w:szCs w:val="26"/>
        </w:rPr>
        <w:t>ulighed for at tage på højskole</w:t>
      </w:r>
      <w:r w:rsidR="008225B7">
        <w:rPr>
          <w:szCs w:val="26"/>
        </w:rPr>
        <w:t xml:space="preserve">. Det vil også </w:t>
      </w:r>
      <w:r w:rsidR="005815F3">
        <w:rPr>
          <w:szCs w:val="26"/>
        </w:rPr>
        <w:t xml:space="preserve">komme </w:t>
      </w:r>
      <w:r w:rsidR="008225B7">
        <w:rPr>
          <w:szCs w:val="26"/>
        </w:rPr>
        <w:t>seniorer med handicap</w:t>
      </w:r>
      <w:r w:rsidR="005815F3">
        <w:rPr>
          <w:szCs w:val="26"/>
        </w:rPr>
        <w:t xml:space="preserve"> til gavn</w:t>
      </w:r>
      <w:r>
        <w:rPr>
          <w:szCs w:val="26"/>
        </w:rPr>
        <w:t xml:space="preserve">. </w:t>
      </w:r>
      <w:r w:rsidR="008225B7">
        <w:rPr>
          <w:szCs w:val="26"/>
        </w:rPr>
        <w:t xml:space="preserve">Det er udmærket og </w:t>
      </w:r>
      <w:r>
        <w:rPr>
          <w:szCs w:val="26"/>
        </w:rPr>
        <w:t>DH har ingen yderligere bemærkninger til denne del af lovforslaget.</w:t>
      </w:r>
    </w:p>
    <w:p w14:paraId="04045433" w14:textId="5003AD02" w:rsidR="00E11742" w:rsidRDefault="00E11742" w:rsidP="00837245"/>
    <w:p w14:paraId="248BB115" w14:textId="5536081C" w:rsidR="00C66259" w:rsidRDefault="00E11742" w:rsidP="00E11742">
      <w:pPr>
        <w:rPr>
          <w:szCs w:val="26"/>
        </w:rPr>
      </w:pPr>
      <w:r>
        <w:t xml:space="preserve">Den anden del af lovforslaget </w:t>
      </w:r>
      <w:r>
        <w:rPr>
          <w:szCs w:val="26"/>
        </w:rPr>
        <w:t xml:space="preserve">indeholder </w:t>
      </w:r>
      <w:r w:rsidRPr="00891868">
        <w:rPr>
          <w:szCs w:val="26"/>
        </w:rPr>
        <w:t>ændring</w:t>
      </w:r>
      <w:r>
        <w:rPr>
          <w:szCs w:val="26"/>
        </w:rPr>
        <w:t>er</w:t>
      </w:r>
      <w:r w:rsidRPr="00891868">
        <w:rPr>
          <w:szCs w:val="26"/>
        </w:rPr>
        <w:t xml:space="preserve"> af regler</w:t>
      </w:r>
      <w:r>
        <w:rPr>
          <w:szCs w:val="26"/>
        </w:rPr>
        <w:t>ne</w:t>
      </w:r>
      <w:r w:rsidRPr="00891868">
        <w:rPr>
          <w:szCs w:val="26"/>
        </w:rPr>
        <w:t xml:space="preserve"> </w:t>
      </w:r>
      <w:r>
        <w:rPr>
          <w:szCs w:val="26"/>
        </w:rPr>
        <w:t xml:space="preserve">vedr. </w:t>
      </w:r>
      <w:r w:rsidRPr="00891868">
        <w:rPr>
          <w:szCs w:val="26"/>
        </w:rPr>
        <w:t>støtte</w:t>
      </w:r>
      <w:r>
        <w:rPr>
          <w:szCs w:val="26"/>
        </w:rPr>
        <w:t xml:space="preserve"> til mennesker med handicap.</w:t>
      </w:r>
      <w:r w:rsidRPr="00343C93">
        <w:rPr>
          <w:szCs w:val="26"/>
        </w:rPr>
        <w:t xml:space="preserve"> </w:t>
      </w:r>
      <w:r w:rsidRPr="00891868">
        <w:rPr>
          <w:szCs w:val="26"/>
        </w:rPr>
        <w:t xml:space="preserve">Det fremgår af </w:t>
      </w:r>
      <w:r>
        <w:rPr>
          <w:szCs w:val="26"/>
        </w:rPr>
        <w:t>bemærkningerne</w:t>
      </w:r>
      <w:r w:rsidRPr="00891868">
        <w:rPr>
          <w:szCs w:val="26"/>
        </w:rPr>
        <w:t xml:space="preserve">, at </w:t>
      </w:r>
      <w:r>
        <w:rPr>
          <w:szCs w:val="26"/>
        </w:rPr>
        <w:t xml:space="preserve">disse ændringer </w:t>
      </w:r>
      <w:r w:rsidRPr="00891868">
        <w:rPr>
          <w:szCs w:val="26"/>
        </w:rPr>
        <w:t>er udtryk for et ønske om forenkling og</w:t>
      </w:r>
      <w:r>
        <w:rPr>
          <w:szCs w:val="26"/>
        </w:rPr>
        <w:t xml:space="preserve"> ikke en besparelse. </w:t>
      </w:r>
    </w:p>
    <w:p w14:paraId="5284E6A2" w14:textId="77777777" w:rsidR="00E11742" w:rsidRPr="00891868" w:rsidRDefault="00E11742" w:rsidP="00E11742">
      <w:pPr>
        <w:rPr>
          <w:szCs w:val="26"/>
        </w:rPr>
      </w:pPr>
    </w:p>
    <w:p w14:paraId="232C91D0" w14:textId="6598031A" w:rsidR="00E11742" w:rsidRDefault="00C66259" w:rsidP="00E11742">
      <w:pPr>
        <w:rPr>
          <w:szCs w:val="26"/>
        </w:rPr>
      </w:pPr>
      <w:r>
        <w:rPr>
          <w:szCs w:val="26"/>
        </w:rPr>
        <w:t xml:space="preserve">De </w:t>
      </w:r>
      <w:r w:rsidR="00E3101D">
        <w:rPr>
          <w:szCs w:val="26"/>
        </w:rPr>
        <w:t xml:space="preserve">foreslåede </w:t>
      </w:r>
      <w:r>
        <w:rPr>
          <w:szCs w:val="26"/>
        </w:rPr>
        <w:t xml:space="preserve">ændringer i den </w:t>
      </w:r>
      <w:r w:rsidRPr="00891868">
        <w:rPr>
          <w:szCs w:val="26"/>
        </w:rPr>
        <w:t>specialpædagogisk støtte og specialundervisning</w:t>
      </w:r>
      <w:r>
        <w:rPr>
          <w:szCs w:val="26"/>
        </w:rPr>
        <w:t xml:space="preserve">, </w:t>
      </w:r>
      <w:r w:rsidRPr="00891868">
        <w:rPr>
          <w:szCs w:val="26"/>
        </w:rPr>
        <w:t xml:space="preserve">vækker </w:t>
      </w:r>
      <w:r w:rsidR="00E3101D">
        <w:rPr>
          <w:szCs w:val="26"/>
        </w:rPr>
        <w:t xml:space="preserve">imidlertid </w:t>
      </w:r>
      <w:r w:rsidRPr="00891868">
        <w:rPr>
          <w:szCs w:val="26"/>
        </w:rPr>
        <w:t xml:space="preserve">stor </w:t>
      </w:r>
      <w:r w:rsidR="00E3101D">
        <w:rPr>
          <w:szCs w:val="26"/>
        </w:rPr>
        <w:t xml:space="preserve">bekymring i handicaporganisationerne, </w:t>
      </w:r>
      <w:r w:rsidRPr="00891868">
        <w:rPr>
          <w:szCs w:val="26"/>
        </w:rPr>
        <w:t xml:space="preserve">da </w:t>
      </w:r>
      <w:r w:rsidR="00E3101D">
        <w:rPr>
          <w:szCs w:val="26"/>
        </w:rPr>
        <w:t>de</w:t>
      </w:r>
      <w:r w:rsidRPr="00891868">
        <w:rPr>
          <w:szCs w:val="26"/>
        </w:rPr>
        <w:t xml:space="preserve"> vil medføre</w:t>
      </w:r>
      <w:r w:rsidR="00E3101D">
        <w:rPr>
          <w:szCs w:val="26"/>
        </w:rPr>
        <w:t xml:space="preserve"> </w:t>
      </w:r>
      <w:r w:rsidRPr="00891868">
        <w:rPr>
          <w:szCs w:val="26"/>
        </w:rPr>
        <w:t>forringede muligheder</w:t>
      </w:r>
      <w:r>
        <w:rPr>
          <w:szCs w:val="26"/>
        </w:rPr>
        <w:t xml:space="preserve"> for at </w:t>
      </w:r>
      <w:r w:rsidR="00E3101D">
        <w:rPr>
          <w:szCs w:val="26"/>
        </w:rPr>
        <w:t xml:space="preserve">mennesker med handicap </w:t>
      </w:r>
      <w:r w:rsidR="008225B7">
        <w:rPr>
          <w:szCs w:val="26"/>
        </w:rPr>
        <w:t xml:space="preserve">– såvel unge som ældre – </w:t>
      </w:r>
      <w:r w:rsidR="00E3101D">
        <w:rPr>
          <w:szCs w:val="26"/>
        </w:rPr>
        <w:t xml:space="preserve">kan </w:t>
      </w:r>
      <w:r>
        <w:rPr>
          <w:szCs w:val="26"/>
        </w:rPr>
        <w:t>tage på højskole</w:t>
      </w:r>
      <w:r w:rsidR="00E3101D">
        <w:rPr>
          <w:szCs w:val="26"/>
        </w:rPr>
        <w:t xml:space="preserve">. </w:t>
      </w:r>
    </w:p>
    <w:p w14:paraId="13BBDBFB" w14:textId="2A1D7908" w:rsidR="005815F3" w:rsidRDefault="005815F3" w:rsidP="00E11742">
      <w:pPr>
        <w:rPr>
          <w:szCs w:val="26"/>
        </w:rPr>
      </w:pPr>
    </w:p>
    <w:p w14:paraId="28ED0B71" w14:textId="539C9563" w:rsidR="005815F3" w:rsidRPr="005815F3" w:rsidRDefault="005815F3" w:rsidP="00E11742">
      <w:pPr>
        <w:rPr>
          <w:szCs w:val="26"/>
        </w:rPr>
      </w:pPr>
      <w:r w:rsidRPr="005815F3">
        <w:rPr>
          <w:szCs w:val="26"/>
        </w:rPr>
        <w:t xml:space="preserve">Der er ingen tvivl om, at </w:t>
      </w:r>
      <w:r>
        <w:rPr>
          <w:szCs w:val="26"/>
        </w:rPr>
        <w:t xml:space="preserve">mange mennesker får fantastiske oplevelser under et højskoleophold, </w:t>
      </w:r>
      <w:r w:rsidR="00750E2F">
        <w:rPr>
          <w:szCs w:val="26"/>
        </w:rPr>
        <w:t xml:space="preserve">i </w:t>
      </w:r>
      <w:r>
        <w:rPr>
          <w:szCs w:val="26"/>
        </w:rPr>
        <w:t>mødet med andre mennesker i ligeværdige fællesskaber.</w:t>
      </w:r>
      <w:r w:rsidR="00750E2F">
        <w:rPr>
          <w:szCs w:val="26"/>
        </w:rPr>
        <w:t xml:space="preserve"> Det gælder for alle mennesker; unge, voksne og seniorer. Men eller uden handicap.</w:t>
      </w:r>
    </w:p>
    <w:p w14:paraId="136E07D8" w14:textId="77777777" w:rsidR="005815F3" w:rsidRDefault="005815F3" w:rsidP="00E11742">
      <w:pPr>
        <w:rPr>
          <w:b/>
          <w:szCs w:val="26"/>
        </w:rPr>
      </w:pPr>
    </w:p>
    <w:p w14:paraId="1D5623AA" w14:textId="77777777" w:rsidR="005708BB" w:rsidRDefault="005708BB" w:rsidP="00E11742">
      <w:pPr>
        <w:rPr>
          <w:b/>
          <w:szCs w:val="26"/>
        </w:rPr>
      </w:pPr>
    </w:p>
    <w:p w14:paraId="0A599484" w14:textId="654B85BA" w:rsidR="00E11742" w:rsidRPr="00891868" w:rsidRDefault="00E3101D" w:rsidP="00E11742">
      <w:pPr>
        <w:rPr>
          <w:b/>
          <w:szCs w:val="26"/>
        </w:rPr>
      </w:pPr>
      <w:r>
        <w:rPr>
          <w:b/>
          <w:szCs w:val="26"/>
        </w:rPr>
        <w:t xml:space="preserve">Ændringerne i </w:t>
      </w:r>
      <w:r w:rsidR="00E11742" w:rsidRPr="00891868">
        <w:rPr>
          <w:b/>
          <w:szCs w:val="26"/>
        </w:rPr>
        <w:t>§</w:t>
      </w:r>
      <w:r w:rsidR="00E11742">
        <w:rPr>
          <w:b/>
          <w:szCs w:val="26"/>
        </w:rPr>
        <w:t xml:space="preserve"> </w:t>
      </w:r>
      <w:r w:rsidR="00E11742" w:rsidRPr="00891868">
        <w:rPr>
          <w:b/>
          <w:szCs w:val="26"/>
        </w:rPr>
        <w:t>27.1</w:t>
      </w:r>
      <w:r w:rsidR="00E11742">
        <w:rPr>
          <w:b/>
          <w:szCs w:val="26"/>
        </w:rPr>
        <w:t xml:space="preserve"> </w:t>
      </w:r>
    </w:p>
    <w:p w14:paraId="17703BFC" w14:textId="07D7B917" w:rsidR="00E3101D" w:rsidRDefault="00E11742" w:rsidP="00E11742">
      <w:pPr>
        <w:rPr>
          <w:szCs w:val="26"/>
        </w:rPr>
      </w:pPr>
      <w:r w:rsidRPr="00C37FC5">
        <w:rPr>
          <w:szCs w:val="26"/>
        </w:rPr>
        <w:t>Lovforslaget lægger op til</w:t>
      </w:r>
      <w:r w:rsidR="008225B7">
        <w:rPr>
          <w:szCs w:val="26"/>
        </w:rPr>
        <w:t>,</w:t>
      </w:r>
      <w:r w:rsidRPr="00C37FC5">
        <w:rPr>
          <w:szCs w:val="26"/>
        </w:rPr>
        <w:t xml:space="preserve"> at den nuværende mulighed for individuel ansøgt specialpædagogisk støtte eft</w:t>
      </w:r>
      <w:r w:rsidR="00172C0D">
        <w:rPr>
          <w:szCs w:val="26"/>
        </w:rPr>
        <w:t>er lovens § 27</w:t>
      </w:r>
      <w:r w:rsidRPr="00C37FC5">
        <w:rPr>
          <w:szCs w:val="26"/>
        </w:rPr>
        <w:t xml:space="preserve"> stk. 1 afskaffes og erstattes af</w:t>
      </w:r>
      <w:r w:rsidR="00E3101D">
        <w:rPr>
          <w:szCs w:val="26"/>
        </w:rPr>
        <w:t xml:space="preserve"> et generelt tilskud på 60.000 kr. </w:t>
      </w:r>
      <w:r w:rsidRPr="00C37FC5">
        <w:rPr>
          <w:szCs w:val="26"/>
        </w:rPr>
        <w:t xml:space="preserve">til samtlige højskoler, uanset om de har elever med behov for specialpædagogisk støtte. </w:t>
      </w:r>
    </w:p>
    <w:p w14:paraId="6E882E64" w14:textId="77777777" w:rsidR="00E3101D" w:rsidRDefault="00E3101D" w:rsidP="00E11742">
      <w:pPr>
        <w:rPr>
          <w:szCs w:val="26"/>
        </w:rPr>
      </w:pPr>
    </w:p>
    <w:p w14:paraId="1AC06A74" w14:textId="7D71409A" w:rsidR="00664648" w:rsidRDefault="00E11742" w:rsidP="00E11742">
      <w:pPr>
        <w:rPr>
          <w:szCs w:val="26"/>
        </w:rPr>
      </w:pPr>
      <w:r w:rsidRPr="00C37FC5">
        <w:rPr>
          <w:szCs w:val="26"/>
        </w:rPr>
        <w:t xml:space="preserve">Et generelt tilskud, som ikke er begrundet i et konkret behov og </w:t>
      </w:r>
      <w:r w:rsidR="00E3101D">
        <w:rPr>
          <w:szCs w:val="26"/>
        </w:rPr>
        <w:t>som ikke er øremærket inklusion af elever med handicap</w:t>
      </w:r>
      <w:r w:rsidRPr="00C37FC5">
        <w:rPr>
          <w:szCs w:val="26"/>
        </w:rPr>
        <w:t>, vil med stor sandsynlighed blive anvendt som et generelt driftstilskud</w:t>
      </w:r>
      <w:r w:rsidR="008225B7">
        <w:rPr>
          <w:szCs w:val="26"/>
        </w:rPr>
        <w:t xml:space="preserve"> af højskoler, </w:t>
      </w:r>
      <w:r w:rsidR="00664648">
        <w:rPr>
          <w:szCs w:val="26"/>
        </w:rPr>
        <w:t xml:space="preserve">på bekostning af den mindre gruppe højskoler, der tager et særligt ansvar ift. at inkludere mennesker med handicap. Denne omfordeling mener DH er </w:t>
      </w:r>
      <w:r w:rsidR="00172C0D">
        <w:rPr>
          <w:szCs w:val="26"/>
        </w:rPr>
        <w:t xml:space="preserve">helt </w:t>
      </w:r>
      <w:r w:rsidR="008225B7">
        <w:rPr>
          <w:szCs w:val="26"/>
        </w:rPr>
        <w:t>urimelig.</w:t>
      </w:r>
    </w:p>
    <w:p w14:paraId="5080E1FE" w14:textId="77777777" w:rsidR="00172C0D" w:rsidRPr="00172C0D" w:rsidRDefault="00172C0D" w:rsidP="00E11742">
      <w:pPr>
        <w:rPr>
          <w:szCs w:val="26"/>
        </w:rPr>
      </w:pPr>
    </w:p>
    <w:p w14:paraId="2E5A8B2A" w14:textId="3E483F0A" w:rsidR="00172C0D" w:rsidRPr="00172C0D" w:rsidRDefault="00172C0D" w:rsidP="00172C0D">
      <w:pPr>
        <w:rPr>
          <w:b/>
          <w:szCs w:val="26"/>
        </w:rPr>
      </w:pPr>
      <w:r w:rsidRPr="00172C0D">
        <w:rPr>
          <w:szCs w:val="26"/>
        </w:rPr>
        <w:t xml:space="preserve">DH mener, at en ophævelse af § 27.1 i praksis vil fratage elever med lettere psykiske eller fysiske udfordringer muligheden for at komme på højskole. </w:t>
      </w:r>
    </w:p>
    <w:p w14:paraId="4D97345C" w14:textId="6F983C91" w:rsidR="00664648" w:rsidRDefault="00664648" w:rsidP="00E11742">
      <w:pPr>
        <w:rPr>
          <w:szCs w:val="26"/>
        </w:rPr>
      </w:pPr>
    </w:p>
    <w:p w14:paraId="4F737B05" w14:textId="0DCC1DE9" w:rsidR="00664648" w:rsidRDefault="00664648" w:rsidP="00E11742">
      <w:pPr>
        <w:rPr>
          <w:szCs w:val="26"/>
        </w:rPr>
      </w:pPr>
      <w:r>
        <w:rPr>
          <w:szCs w:val="26"/>
        </w:rPr>
        <w:lastRenderedPageBreak/>
        <w:t>VIFO’s nyligt gennemførte analyse af specialundervisning og elever med handicap på højskolerne viste, at højskolerne generelt er tilfredse med mulighederne for SPS</w:t>
      </w:r>
      <w:r w:rsidR="00172C0D">
        <w:rPr>
          <w:rStyle w:val="Fodnotehenvisning"/>
          <w:szCs w:val="26"/>
        </w:rPr>
        <w:footnoteReference w:id="1"/>
      </w:r>
      <w:r>
        <w:rPr>
          <w:szCs w:val="26"/>
        </w:rPr>
        <w:t>. Analysen pegede ikke i retning af</w:t>
      </w:r>
      <w:r w:rsidR="00172C0D">
        <w:rPr>
          <w:szCs w:val="26"/>
        </w:rPr>
        <w:t xml:space="preserve"> et generelt ønske fra højskolernes side om en omlægning af midlerne til at kunne inkludere elever med handicap på højskoleophold. DH er derfor meget forundret over</w:t>
      </w:r>
      <w:r w:rsidR="003028A6">
        <w:rPr>
          <w:szCs w:val="26"/>
        </w:rPr>
        <w:t xml:space="preserve"> dette forslag til ændring</w:t>
      </w:r>
      <w:r w:rsidR="00172C0D">
        <w:rPr>
          <w:szCs w:val="26"/>
        </w:rPr>
        <w:t>.</w:t>
      </w:r>
    </w:p>
    <w:p w14:paraId="642987B8" w14:textId="77777777" w:rsidR="00E11742" w:rsidRDefault="00E11742" w:rsidP="00E11742">
      <w:pPr>
        <w:rPr>
          <w:szCs w:val="26"/>
        </w:rPr>
      </w:pPr>
    </w:p>
    <w:p w14:paraId="601AA378" w14:textId="77777777" w:rsidR="005708BB" w:rsidRDefault="005708BB" w:rsidP="00E11742">
      <w:pPr>
        <w:rPr>
          <w:b/>
          <w:szCs w:val="26"/>
        </w:rPr>
      </w:pPr>
    </w:p>
    <w:p w14:paraId="0390D34C" w14:textId="0CA2E43D" w:rsidR="00E11742" w:rsidRPr="00891868" w:rsidRDefault="00E11742" w:rsidP="00E11742">
      <w:pPr>
        <w:rPr>
          <w:b/>
          <w:szCs w:val="26"/>
        </w:rPr>
      </w:pPr>
      <w:r>
        <w:rPr>
          <w:b/>
          <w:szCs w:val="26"/>
        </w:rPr>
        <w:t xml:space="preserve">Ændringer til </w:t>
      </w:r>
      <w:r w:rsidRPr="00891868">
        <w:rPr>
          <w:b/>
          <w:szCs w:val="26"/>
        </w:rPr>
        <w:t>§</w:t>
      </w:r>
      <w:r>
        <w:rPr>
          <w:b/>
          <w:szCs w:val="26"/>
        </w:rPr>
        <w:t xml:space="preserve"> </w:t>
      </w:r>
      <w:r w:rsidRPr="00891868">
        <w:rPr>
          <w:b/>
          <w:szCs w:val="26"/>
        </w:rPr>
        <w:t>27.2</w:t>
      </w:r>
    </w:p>
    <w:p w14:paraId="26156DA5" w14:textId="34984792" w:rsidR="00172C0D" w:rsidRDefault="00172C0D" w:rsidP="00E11742">
      <w:pPr>
        <w:rPr>
          <w:szCs w:val="26"/>
        </w:rPr>
      </w:pPr>
      <w:r w:rsidRPr="003028A6">
        <w:rPr>
          <w:szCs w:val="26"/>
        </w:rPr>
        <w:t>Lov</w:t>
      </w:r>
      <w:r w:rsidR="003028A6">
        <w:rPr>
          <w:szCs w:val="26"/>
        </w:rPr>
        <w:t xml:space="preserve">forslaget lægger op til at reducere timesatsen for specialundervisning med ca. 20 pct. (fra 912 kr. til 730 kr.). Ministeriet begrunder den lavere takst med, at </w:t>
      </w:r>
      <w:r w:rsidR="003028A6" w:rsidRPr="00891868">
        <w:rPr>
          <w:szCs w:val="26"/>
        </w:rPr>
        <w:t>der ikke er behov for forberedelsestid til specialundervisningslæreren</w:t>
      </w:r>
      <w:r w:rsidR="003028A6">
        <w:rPr>
          <w:szCs w:val="26"/>
        </w:rPr>
        <w:t xml:space="preserve">. Det mener DH dog er </w:t>
      </w:r>
      <w:r w:rsidR="002B4690">
        <w:rPr>
          <w:szCs w:val="26"/>
        </w:rPr>
        <w:t xml:space="preserve">misforstået. </w:t>
      </w:r>
    </w:p>
    <w:p w14:paraId="05E09097" w14:textId="34CB7FA9" w:rsidR="003028A6" w:rsidRPr="002B4690" w:rsidRDefault="003028A6" w:rsidP="00E11742">
      <w:pPr>
        <w:rPr>
          <w:szCs w:val="26"/>
        </w:rPr>
      </w:pPr>
    </w:p>
    <w:p w14:paraId="6606B132" w14:textId="56F5C8AC" w:rsidR="00E11742" w:rsidRDefault="00E11742" w:rsidP="00E11742">
      <w:pPr>
        <w:rPr>
          <w:szCs w:val="26"/>
        </w:rPr>
      </w:pPr>
      <w:r w:rsidRPr="002B4690">
        <w:rPr>
          <w:szCs w:val="26"/>
        </w:rPr>
        <w:t xml:space="preserve">En lavere takst til specialundervisning af elever med svære handicap vil </w:t>
      </w:r>
      <w:r w:rsidR="002B4690">
        <w:rPr>
          <w:szCs w:val="26"/>
        </w:rPr>
        <w:t>medføre en forringet kvalitet i undervisningen:</w:t>
      </w:r>
    </w:p>
    <w:p w14:paraId="2E20549D" w14:textId="148B1451" w:rsidR="002B4690" w:rsidRDefault="002B4690" w:rsidP="00E11742">
      <w:pPr>
        <w:rPr>
          <w:szCs w:val="26"/>
        </w:rPr>
      </w:pPr>
    </w:p>
    <w:p w14:paraId="7C84B582" w14:textId="7439A169" w:rsidR="002B4690" w:rsidRPr="00BA2F8A" w:rsidRDefault="005708BB" w:rsidP="005708BB">
      <w:pPr>
        <w:rPr>
          <w:i/>
          <w:szCs w:val="26"/>
        </w:rPr>
      </w:pPr>
      <w:r>
        <w:rPr>
          <w:i/>
          <w:szCs w:val="26"/>
        </w:rPr>
        <w:t xml:space="preserve">1) </w:t>
      </w:r>
      <w:r w:rsidR="002B4690" w:rsidRPr="00BA2F8A">
        <w:rPr>
          <w:i/>
          <w:szCs w:val="26"/>
        </w:rPr>
        <w:t>Undervisning uden forberedelse forringer kvaliteten.</w:t>
      </w:r>
    </w:p>
    <w:p w14:paraId="3530CC8B" w14:textId="4E85BB88" w:rsidR="002B4690" w:rsidRPr="00891868" w:rsidRDefault="002B4690" w:rsidP="002B4690">
      <w:pPr>
        <w:rPr>
          <w:szCs w:val="26"/>
        </w:rPr>
      </w:pPr>
      <w:r w:rsidRPr="00891868">
        <w:rPr>
          <w:szCs w:val="26"/>
        </w:rPr>
        <w:t>Al undervisning kræver forberedelse, og specialundervisning er ingen undtagelse, snarere tværtimod, idet der er en lang række individuelle hensyn at tage til svært handicappede elever.</w:t>
      </w:r>
      <w:r>
        <w:rPr>
          <w:szCs w:val="26"/>
        </w:rPr>
        <w:t xml:space="preserve"> </w:t>
      </w:r>
      <w:r w:rsidRPr="00891868">
        <w:rPr>
          <w:szCs w:val="26"/>
        </w:rPr>
        <w:t>Hvis der ikke er forberedelsestid, er det ikke undervisning. Ekstra hænder i en undervisningstime er en stor hjælp, men det er ikke specialundervisning, idet u</w:t>
      </w:r>
      <w:r>
        <w:rPr>
          <w:szCs w:val="26"/>
        </w:rPr>
        <w:t>ndervisning kræver forberedelse.</w:t>
      </w:r>
    </w:p>
    <w:p w14:paraId="3E2059A4" w14:textId="77777777" w:rsidR="002B4690" w:rsidRDefault="002B4690" w:rsidP="00E11742">
      <w:pPr>
        <w:rPr>
          <w:szCs w:val="26"/>
        </w:rPr>
      </w:pPr>
    </w:p>
    <w:p w14:paraId="29E67B09" w14:textId="4CD7FC65" w:rsidR="00E11742" w:rsidRPr="00891868" w:rsidRDefault="002B4690" w:rsidP="00E11742">
      <w:pPr>
        <w:rPr>
          <w:szCs w:val="26"/>
        </w:rPr>
      </w:pPr>
      <w:r>
        <w:rPr>
          <w:szCs w:val="26"/>
        </w:rPr>
        <w:t>Højs</w:t>
      </w:r>
      <w:r w:rsidR="00E11742" w:rsidRPr="00891868">
        <w:rPr>
          <w:szCs w:val="26"/>
        </w:rPr>
        <w:t xml:space="preserve">koler, der i dag </w:t>
      </w:r>
      <w:r>
        <w:rPr>
          <w:szCs w:val="26"/>
        </w:rPr>
        <w:t>inkluderer elever med handicap</w:t>
      </w:r>
      <w:r w:rsidR="00E11742" w:rsidRPr="00891868">
        <w:rPr>
          <w:szCs w:val="26"/>
        </w:rPr>
        <w:t xml:space="preserve">, gør det meget forskelligt. Ministeriet påpeger, at </w:t>
      </w:r>
      <w:r>
        <w:rPr>
          <w:szCs w:val="26"/>
        </w:rPr>
        <w:t xml:space="preserve">mange bruger et to-lærersystem. Det </w:t>
      </w:r>
      <w:r w:rsidR="00E11742" w:rsidRPr="00891868">
        <w:rPr>
          <w:szCs w:val="26"/>
        </w:rPr>
        <w:t xml:space="preserve">giver </w:t>
      </w:r>
      <w:r>
        <w:rPr>
          <w:szCs w:val="26"/>
        </w:rPr>
        <w:t xml:space="preserve">god </w:t>
      </w:r>
      <w:r w:rsidR="00E11742" w:rsidRPr="00891868">
        <w:rPr>
          <w:szCs w:val="26"/>
        </w:rPr>
        <w:t xml:space="preserve">mening i højskolesammenhænge, hvor </w:t>
      </w:r>
      <w:r>
        <w:rPr>
          <w:szCs w:val="26"/>
        </w:rPr>
        <w:t xml:space="preserve">elever med svære handicap </w:t>
      </w:r>
      <w:r w:rsidR="00E11742" w:rsidRPr="00891868">
        <w:rPr>
          <w:szCs w:val="26"/>
        </w:rPr>
        <w:t>deltage</w:t>
      </w:r>
      <w:r>
        <w:rPr>
          <w:szCs w:val="26"/>
        </w:rPr>
        <w:t>r</w:t>
      </w:r>
      <w:r w:rsidR="00E11742" w:rsidRPr="00891868">
        <w:rPr>
          <w:szCs w:val="26"/>
        </w:rPr>
        <w:t xml:space="preserve"> i en undervisning af bred almen karakter. </w:t>
      </w:r>
      <w:r>
        <w:rPr>
          <w:szCs w:val="26"/>
        </w:rPr>
        <w:t>N</w:t>
      </w:r>
      <w:r w:rsidR="00E11742" w:rsidRPr="00891868">
        <w:rPr>
          <w:szCs w:val="26"/>
        </w:rPr>
        <w:t xml:space="preserve">år der er to lærere i en undervisningstime, vil den ene lærer </w:t>
      </w:r>
      <w:r>
        <w:rPr>
          <w:szCs w:val="26"/>
        </w:rPr>
        <w:t xml:space="preserve">typisk </w:t>
      </w:r>
      <w:r w:rsidR="00E11742" w:rsidRPr="00891868">
        <w:rPr>
          <w:szCs w:val="26"/>
        </w:rPr>
        <w:t>forberede indholdet</w:t>
      </w:r>
      <w:r>
        <w:rPr>
          <w:szCs w:val="26"/>
        </w:rPr>
        <w:t xml:space="preserve"> og forløbet af undervisningen, </w:t>
      </w:r>
      <w:r w:rsidR="00E11742" w:rsidRPr="00891868">
        <w:rPr>
          <w:szCs w:val="26"/>
        </w:rPr>
        <w:t>mens specialundervisningslæreren forbereder det særlige materiale, det særlige forløb og de særlige hensyn</w:t>
      </w:r>
      <w:r>
        <w:rPr>
          <w:szCs w:val="26"/>
        </w:rPr>
        <w:t>,</w:t>
      </w:r>
      <w:r w:rsidR="00E11742" w:rsidRPr="00891868">
        <w:rPr>
          <w:szCs w:val="26"/>
        </w:rPr>
        <w:t xml:space="preserve"> der skal tages til eleven eller eleverne med et svært handicap. Det klares ikke blot ved at have et ekstra sæt hænder i undervisningen.</w:t>
      </w:r>
      <w:r>
        <w:rPr>
          <w:szCs w:val="26"/>
        </w:rPr>
        <w:t xml:space="preserve"> Eksempelvis</w:t>
      </w:r>
      <w:r w:rsidR="00E11742" w:rsidRPr="00891868">
        <w:rPr>
          <w:szCs w:val="26"/>
        </w:rPr>
        <w:t xml:space="preserve">: </w:t>
      </w:r>
    </w:p>
    <w:p w14:paraId="0A0AD3BA" w14:textId="4E05EB58" w:rsidR="00E11742" w:rsidRPr="00891868" w:rsidRDefault="00E11742" w:rsidP="00E11742">
      <w:pPr>
        <w:pStyle w:val="Listeafsnit"/>
        <w:numPr>
          <w:ilvl w:val="0"/>
          <w:numId w:val="1"/>
        </w:numPr>
        <w:rPr>
          <w:rFonts w:ascii="Times New Roman" w:hAnsi="Times New Roman" w:cs="Times New Roman"/>
          <w:sz w:val="26"/>
          <w:szCs w:val="26"/>
        </w:rPr>
      </w:pPr>
      <w:r w:rsidRPr="00891868">
        <w:rPr>
          <w:rFonts w:ascii="Times New Roman" w:hAnsi="Times New Roman" w:cs="Times New Roman"/>
          <w:sz w:val="26"/>
          <w:szCs w:val="26"/>
        </w:rPr>
        <w:t>Specialundervisningslæreren i madlavning laver billedopskrifter</w:t>
      </w:r>
      <w:r w:rsidR="002B4690">
        <w:rPr>
          <w:rFonts w:ascii="Times New Roman" w:hAnsi="Times New Roman" w:cs="Times New Roman"/>
          <w:sz w:val="26"/>
          <w:szCs w:val="26"/>
        </w:rPr>
        <w:t xml:space="preserve"> til elever, der ikke kan læse. Læreren </w:t>
      </w:r>
      <w:r w:rsidRPr="00891868">
        <w:rPr>
          <w:rFonts w:ascii="Times New Roman" w:hAnsi="Times New Roman" w:cs="Times New Roman"/>
          <w:sz w:val="26"/>
          <w:szCs w:val="26"/>
        </w:rPr>
        <w:t xml:space="preserve">forbereder et anderledes forløb af timen til eleven, hvis handicap indebærer koncentrationsbesvær eller et stort konfliktniveau. </w:t>
      </w:r>
    </w:p>
    <w:p w14:paraId="5C6936AC" w14:textId="77777777" w:rsidR="00E11742" w:rsidRPr="00891868" w:rsidRDefault="00E11742" w:rsidP="00E11742">
      <w:pPr>
        <w:pStyle w:val="Listeafsnit"/>
        <w:numPr>
          <w:ilvl w:val="0"/>
          <w:numId w:val="1"/>
        </w:numPr>
        <w:rPr>
          <w:rFonts w:ascii="Times New Roman" w:hAnsi="Times New Roman" w:cs="Times New Roman"/>
          <w:sz w:val="26"/>
          <w:szCs w:val="26"/>
        </w:rPr>
      </w:pPr>
      <w:r w:rsidRPr="00891868">
        <w:rPr>
          <w:rFonts w:ascii="Times New Roman" w:hAnsi="Times New Roman" w:cs="Times New Roman"/>
          <w:sz w:val="26"/>
          <w:szCs w:val="26"/>
        </w:rPr>
        <w:t>Specialundervisningslæreren i idræt laver et særligt træningsprogram til eleven med rollator, der fx skal have et særligt fysisk træningsforløb i noget af timen for at kunne deltage i den fælles hockeykamp i resten af timen.</w:t>
      </w:r>
    </w:p>
    <w:p w14:paraId="529DEE86" w14:textId="77777777" w:rsidR="002B4690" w:rsidRDefault="002B4690" w:rsidP="00E11742">
      <w:pPr>
        <w:rPr>
          <w:szCs w:val="26"/>
        </w:rPr>
      </w:pPr>
    </w:p>
    <w:p w14:paraId="2D0EA4B6" w14:textId="3A6E7C24" w:rsidR="00E11742" w:rsidRPr="00891868" w:rsidRDefault="00E11742" w:rsidP="00E11742">
      <w:pPr>
        <w:rPr>
          <w:szCs w:val="26"/>
        </w:rPr>
      </w:pPr>
      <w:r w:rsidRPr="00891868">
        <w:rPr>
          <w:szCs w:val="26"/>
        </w:rPr>
        <w:t xml:space="preserve">Konsekvenserne ved at fjerne forberedelsestiden vil </w:t>
      </w:r>
      <w:r w:rsidR="002B4690">
        <w:rPr>
          <w:szCs w:val="26"/>
        </w:rPr>
        <w:t xml:space="preserve">således </w:t>
      </w:r>
      <w:r w:rsidRPr="00891868">
        <w:rPr>
          <w:szCs w:val="26"/>
        </w:rPr>
        <w:t>være et betydeligt ringere undervisningstilbud til eleverne.</w:t>
      </w:r>
    </w:p>
    <w:p w14:paraId="0772D6F8" w14:textId="77777777" w:rsidR="002B4690" w:rsidRPr="002B4690" w:rsidRDefault="002B4690" w:rsidP="002B4690">
      <w:pPr>
        <w:rPr>
          <w:szCs w:val="26"/>
        </w:rPr>
      </w:pPr>
    </w:p>
    <w:p w14:paraId="66382025" w14:textId="1251C158" w:rsidR="002B4690" w:rsidRPr="005708BB" w:rsidRDefault="002B4690" w:rsidP="00E11742">
      <w:pPr>
        <w:rPr>
          <w:i/>
          <w:szCs w:val="26"/>
        </w:rPr>
      </w:pPr>
      <w:r w:rsidRPr="005708BB">
        <w:rPr>
          <w:i/>
          <w:szCs w:val="26"/>
        </w:rPr>
        <w:t xml:space="preserve">2) </w:t>
      </w:r>
      <w:r w:rsidR="00BA2F8A" w:rsidRPr="005708BB">
        <w:rPr>
          <w:i/>
          <w:szCs w:val="26"/>
        </w:rPr>
        <w:t>Timelærere frem for fuldtidsansatte lærere forringer kvaliteten - især i det særlige kostskolemiljø, der kendetegner højskolerne</w:t>
      </w:r>
    </w:p>
    <w:p w14:paraId="0522EDB6" w14:textId="338A05E3" w:rsidR="008225B7" w:rsidRPr="00891868" w:rsidRDefault="00E11742" w:rsidP="00E11742">
      <w:pPr>
        <w:rPr>
          <w:szCs w:val="26"/>
        </w:rPr>
      </w:pPr>
      <w:r w:rsidRPr="00891868">
        <w:rPr>
          <w:szCs w:val="26"/>
        </w:rPr>
        <w:t xml:space="preserve">En anden konsekvens af en lavere takst er, at skoler, der i dag ansætter fuldtidsansatte højskolelærere til at varetage opgaven, i højere grad vil være nødsaget til at ansætte timelærere for at økonomien kan hænge sammen. Timelærere har ikke samme tilknytning til skolen, og de deltager ikke i samme grad i kostskolelivet som de fuldtidsansatte. Det </w:t>
      </w:r>
      <w:r w:rsidRPr="00891868">
        <w:rPr>
          <w:szCs w:val="26"/>
        </w:rPr>
        <w:lastRenderedPageBreak/>
        <w:t>vækker bekymring, da det alt andet lige vil forringe højskoleopholdet for</w:t>
      </w:r>
      <w:r w:rsidR="00BA2F8A">
        <w:rPr>
          <w:szCs w:val="26"/>
        </w:rPr>
        <w:t xml:space="preserve"> elevene</w:t>
      </w:r>
      <w:r w:rsidRPr="00891868">
        <w:rPr>
          <w:szCs w:val="26"/>
        </w:rPr>
        <w:t>.</w:t>
      </w:r>
      <w:r w:rsidR="008225B7">
        <w:rPr>
          <w:szCs w:val="26"/>
        </w:rPr>
        <w:t xml:space="preserve"> </w:t>
      </w:r>
      <w:r w:rsidR="00602F29">
        <w:rPr>
          <w:szCs w:val="26"/>
        </w:rPr>
        <w:t>For eleverne er d</w:t>
      </w:r>
      <w:r w:rsidR="008225B7">
        <w:rPr>
          <w:szCs w:val="26"/>
        </w:rPr>
        <w:t>er tale om undervisning og læring hele døgnet, når man går på højskole og skal tilegne sig generelle samfundsmæssige og sociale kompetencer.</w:t>
      </w:r>
    </w:p>
    <w:p w14:paraId="46D9AC77" w14:textId="77777777" w:rsidR="00E11742" w:rsidRPr="00891868" w:rsidRDefault="00E11742" w:rsidP="00E11742">
      <w:pPr>
        <w:rPr>
          <w:szCs w:val="26"/>
        </w:rPr>
      </w:pPr>
    </w:p>
    <w:p w14:paraId="6D3EE5F8" w14:textId="77777777" w:rsidR="005708BB" w:rsidRDefault="005708BB" w:rsidP="00E11742">
      <w:pPr>
        <w:rPr>
          <w:b/>
          <w:szCs w:val="26"/>
        </w:rPr>
      </w:pPr>
    </w:p>
    <w:p w14:paraId="2DD7DB25" w14:textId="5A46E7FE" w:rsidR="00E11742" w:rsidRPr="00891868" w:rsidRDefault="00E11742" w:rsidP="00E11742">
      <w:pPr>
        <w:rPr>
          <w:b/>
          <w:szCs w:val="26"/>
        </w:rPr>
      </w:pPr>
      <w:r w:rsidRPr="00891868">
        <w:rPr>
          <w:b/>
          <w:szCs w:val="26"/>
        </w:rPr>
        <w:t>Bortfald af støtte til hjælpemidler</w:t>
      </w:r>
    </w:p>
    <w:p w14:paraId="47DFDB27" w14:textId="6C63F0F2" w:rsidR="00602F29" w:rsidRDefault="00172C0D" w:rsidP="00E11742">
      <w:pPr>
        <w:rPr>
          <w:szCs w:val="26"/>
        </w:rPr>
      </w:pPr>
      <w:r>
        <w:rPr>
          <w:szCs w:val="26"/>
        </w:rPr>
        <w:t>I l</w:t>
      </w:r>
      <w:r w:rsidR="00E11742" w:rsidRPr="00891868">
        <w:rPr>
          <w:szCs w:val="26"/>
        </w:rPr>
        <w:t>ovfors</w:t>
      </w:r>
      <w:r w:rsidR="00E11742">
        <w:rPr>
          <w:szCs w:val="26"/>
        </w:rPr>
        <w:t>l</w:t>
      </w:r>
      <w:r w:rsidR="00E11742" w:rsidRPr="00891868">
        <w:rPr>
          <w:szCs w:val="26"/>
        </w:rPr>
        <w:t xml:space="preserve">aget </w:t>
      </w:r>
      <w:r>
        <w:rPr>
          <w:szCs w:val="26"/>
        </w:rPr>
        <w:t>lægges op til at</w:t>
      </w:r>
      <w:r w:rsidR="00E11742" w:rsidRPr="00891868">
        <w:rPr>
          <w:szCs w:val="26"/>
        </w:rPr>
        <w:t xml:space="preserve"> den nuværende mulighed for at søge om støtte til hjælpemidler afskaffes</w:t>
      </w:r>
      <w:r w:rsidR="00BA2F8A">
        <w:rPr>
          <w:szCs w:val="26"/>
        </w:rPr>
        <w:t xml:space="preserve">. Det begrundes i, at </w:t>
      </w:r>
      <w:r w:rsidR="00E11742" w:rsidRPr="00891868">
        <w:rPr>
          <w:szCs w:val="26"/>
        </w:rPr>
        <w:t xml:space="preserve">denne mulighed kun benyttes i meget få tilfælde. Det vil efter </w:t>
      </w:r>
      <w:r>
        <w:rPr>
          <w:szCs w:val="26"/>
        </w:rPr>
        <w:t xml:space="preserve">DH’s </w:t>
      </w:r>
      <w:r w:rsidR="00E11742" w:rsidRPr="00891868">
        <w:rPr>
          <w:szCs w:val="26"/>
        </w:rPr>
        <w:t xml:space="preserve">opfattelse være fuldstændig urimeligt, hvis der ikke er lovgivningsmæssig hjemmel til, at eleverne kan få støtte til nødvendige hjælpemidler, særligt tilrettelagte undervisningsmidler etc. </w:t>
      </w:r>
    </w:p>
    <w:p w14:paraId="511F6248" w14:textId="77777777" w:rsidR="00602F29" w:rsidRDefault="00602F29" w:rsidP="00E11742">
      <w:pPr>
        <w:rPr>
          <w:szCs w:val="26"/>
        </w:rPr>
      </w:pPr>
    </w:p>
    <w:p w14:paraId="4C1A3B89" w14:textId="7D23179B" w:rsidR="00602F29" w:rsidRDefault="00602F29" w:rsidP="00E11742">
      <w:pPr>
        <w:rPr>
          <w:szCs w:val="26"/>
        </w:rPr>
      </w:pPr>
      <w:r>
        <w:rPr>
          <w:szCs w:val="26"/>
        </w:rPr>
        <w:t xml:space="preserve">Lovforslaget vil betyde, at der vil være elever, der under ingen omstændigheder, som følge omfanget af deres handicap, vil kunne komme på højskole, hvis eleven ikke er i stand til at få de hjælpemidler, der er nødvendige for at deltage i undervisningen og det sociale liv på højskolen. </w:t>
      </w:r>
    </w:p>
    <w:p w14:paraId="67C3CFCE" w14:textId="77777777" w:rsidR="00E11742" w:rsidRPr="00891868" w:rsidRDefault="00E11742" w:rsidP="00E11742">
      <w:pPr>
        <w:rPr>
          <w:szCs w:val="26"/>
        </w:rPr>
      </w:pPr>
    </w:p>
    <w:p w14:paraId="62AA9794" w14:textId="04559B4D" w:rsidR="00E11742" w:rsidRPr="00891868" w:rsidRDefault="00BA2F8A" w:rsidP="00E11742">
      <w:pPr>
        <w:rPr>
          <w:szCs w:val="26"/>
        </w:rPr>
      </w:pPr>
      <w:r>
        <w:rPr>
          <w:szCs w:val="26"/>
        </w:rPr>
        <w:t xml:space="preserve">Forslaget om at fjerne muligheden for støtte til hjælpemidler strider mod </w:t>
      </w:r>
      <w:r w:rsidR="00E11742" w:rsidRPr="00891868">
        <w:rPr>
          <w:szCs w:val="26"/>
        </w:rPr>
        <w:t>sektoransvarlighedsprincippet – dvs. princippet om, at den ansvarlige sektor/institution også er ansvarlig for, at der kan ydes de nødvendige hjælpemidler o</w:t>
      </w:r>
      <w:r>
        <w:rPr>
          <w:szCs w:val="26"/>
        </w:rPr>
        <w:t xml:space="preserve">g andre hjælpeforanstaltninger. Sektoransvarlighedsprincippet er en af hjørnestenene i dansk handicappolitik. Derfor mener DH, at det er afgørende, at højskolerne fortsat kan </w:t>
      </w:r>
      <w:r w:rsidR="00E11742" w:rsidRPr="00891868">
        <w:rPr>
          <w:szCs w:val="26"/>
        </w:rPr>
        <w:t>søge støtte til hjælpemidler.</w:t>
      </w:r>
    </w:p>
    <w:p w14:paraId="4586055F" w14:textId="77777777" w:rsidR="00E11742" w:rsidRDefault="00E11742" w:rsidP="00E11742">
      <w:pPr>
        <w:rPr>
          <w:szCs w:val="26"/>
        </w:rPr>
      </w:pPr>
    </w:p>
    <w:p w14:paraId="2D51BA1D" w14:textId="4223A371" w:rsidR="00602F29" w:rsidRDefault="00602F29" w:rsidP="00602F29">
      <w:pPr>
        <w:rPr>
          <w:lang w:eastAsia="en-US"/>
        </w:rPr>
      </w:pPr>
      <w:r>
        <w:rPr>
          <w:lang w:eastAsia="en-US"/>
        </w:rPr>
        <w:t xml:space="preserve">Under henvisning til bl.a. handicapkonventionens artikler 3, 4, 5, 9, 19, 30 og ikke mindst 24, skal det understreges, at højskoleelever med handicap har ret til individuel rimelig tilpasning og tilgængelighed for at kunne deltage på lige fod i undervisningen og opnå det højest mulige udbytte af undervisningen. Det betyder, at den enkelte elev med handicap bl.a. skal have adgang til individuelle hjælpemidler og anden form for specialpædagogisk støtte. </w:t>
      </w:r>
    </w:p>
    <w:p w14:paraId="6C42086E" w14:textId="77777777" w:rsidR="005815F3" w:rsidRDefault="005815F3" w:rsidP="00602F29">
      <w:pPr>
        <w:rPr>
          <w:lang w:eastAsia="en-US"/>
        </w:rPr>
      </w:pPr>
    </w:p>
    <w:p w14:paraId="574FC249" w14:textId="1080DC2A" w:rsidR="00602F29" w:rsidRDefault="00750E2F" w:rsidP="00BA2F8A">
      <w:pPr>
        <w:rPr>
          <w:szCs w:val="26"/>
        </w:rPr>
      </w:pPr>
      <w:r>
        <w:rPr>
          <w:lang w:eastAsia="en-US"/>
        </w:rPr>
        <w:t xml:space="preserve">Et af formålene </w:t>
      </w:r>
      <w:r w:rsidR="00602F29">
        <w:rPr>
          <w:lang w:eastAsia="en-US"/>
        </w:rPr>
        <w:t xml:space="preserve">med </w:t>
      </w:r>
      <w:r>
        <w:rPr>
          <w:lang w:eastAsia="en-US"/>
        </w:rPr>
        <w:t xml:space="preserve">et </w:t>
      </w:r>
      <w:r w:rsidR="00602F29">
        <w:rPr>
          <w:lang w:eastAsia="en-US"/>
        </w:rPr>
        <w:t>højskoleophold er at gøre den enkelte elev bedre i stand til at være og leve inkluderet i samfundet, være i stand til at tr</w:t>
      </w:r>
      <w:r w:rsidR="00F87D29">
        <w:rPr>
          <w:lang w:eastAsia="en-US"/>
        </w:rPr>
        <w:t>æffe beslutninger på egne vegne</w:t>
      </w:r>
      <w:r w:rsidR="00602F29">
        <w:rPr>
          <w:lang w:eastAsia="en-US"/>
        </w:rPr>
        <w:t xml:space="preserve"> og leve op til sit personlige ansvar som borger. Rettighederne i handicapkonventionen omfatter alle personer med et handicap, uanset omfanget af dette og behov for individuel støtte. Konventionen pålægger staterne at sikre, at personer med et handicap har mulighed for at få sine rettigheder og dermed behov imødekommet.</w:t>
      </w:r>
    </w:p>
    <w:p w14:paraId="6A5FA4FA" w14:textId="77777777" w:rsidR="00602F29" w:rsidRDefault="00602F29" w:rsidP="00BA2F8A">
      <w:pPr>
        <w:rPr>
          <w:szCs w:val="26"/>
        </w:rPr>
      </w:pPr>
    </w:p>
    <w:p w14:paraId="52287053" w14:textId="77777777" w:rsidR="005708BB" w:rsidRDefault="005708BB" w:rsidP="00BA2F8A">
      <w:pPr>
        <w:rPr>
          <w:szCs w:val="26"/>
        </w:rPr>
      </w:pPr>
    </w:p>
    <w:p w14:paraId="3C70A040" w14:textId="0B38C0C1" w:rsidR="00BA2F8A" w:rsidRDefault="00BA2F8A" w:rsidP="00BA2F8A">
      <w:r>
        <w:rPr>
          <w:szCs w:val="26"/>
        </w:rPr>
        <w:t xml:space="preserve">Det foreliggende lovforslag vil særligt </w:t>
      </w:r>
      <w:r>
        <w:t xml:space="preserve">ramme de højskoler, der har taget et særligt ansvar for at inkludere mennesker med handicap. </w:t>
      </w:r>
      <w:r w:rsidR="00602F29">
        <w:t xml:space="preserve">Det drejer sig om </w:t>
      </w:r>
      <w:r w:rsidR="005815F3">
        <w:t xml:space="preserve">særligt </w:t>
      </w:r>
      <w:r w:rsidR="00602F29">
        <w:t xml:space="preserve">5-6 højskoler, der gennem mange år har </w:t>
      </w:r>
      <w:r w:rsidR="005815F3">
        <w:t>udviklet højskoletilbud, der gør det muligt, at mennesker med og uden handicap kan deltage på højskole på lige fod.</w:t>
      </w:r>
      <w:r w:rsidR="00750E2F">
        <w:t xml:space="preserve"> </w:t>
      </w:r>
      <w:r w:rsidR="005815F3">
        <w:t xml:space="preserve">I DH er vi </w:t>
      </w:r>
      <w:r w:rsidR="00750E2F">
        <w:t xml:space="preserve">derfor </w:t>
      </w:r>
      <w:r w:rsidR="005815F3">
        <w:t xml:space="preserve">meget bekymrede over udsigten til, at lovforslaget vil </w:t>
      </w:r>
      <w:r>
        <w:t xml:space="preserve">forringe </w:t>
      </w:r>
      <w:r w:rsidR="005815F3">
        <w:t xml:space="preserve">rammerne </w:t>
      </w:r>
      <w:r w:rsidR="00750E2F">
        <w:t xml:space="preserve">for disse højskoler og </w:t>
      </w:r>
      <w:r w:rsidR="005708BB">
        <w:t xml:space="preserve">dermed </w:t>
      </w:r>
      <w:r>
        <w:t>mulighederne for at elever med handicap</w:t>
      </w:r>
      <w:r w:rsidR="005815F3">
        <w:t xml:space="preserve"> kan gå på højskole.</w:t>
      </w:r>
    </w:p>
    <w:p w14:paraId="4EE61EB6" w14:textId="77777777" w:rsidR="00E11742" w:rsidRDefault="00E11742" w:rsidP="00E11742"/>
    <w:p w14:paraId="6D350774" w14:textId="05931D0F" w:rsidR="00E11742" w:rsidRDefault="00BA2F8A" w:rsidP="00E11742">
      <w:pPr>
        <w:rPr>
          <w:color w:val="1F497D"/>
          <w:sz w:val="22"/>
        </w:rPr>
      </w:pPr>
      <w:r>
        <w:t xml:space="preserve">Fra ministeriets side lægges op til en forenkling af et administrativt tungt </w:t>
      </w:r>
      <w:r w:rsidR="00750E2F">
        <w:t xml:space="preserve">område. Det lyder </w:t>
      </w:r>
      <w:r w:rsidR="00EE0D1C">
        <w:t xml:space="preserve">fornuftigt. </w:t>
      </w:r>
      <w:r w:rsidR="00E11742">
        <w:t xml:space="preserve">DH vil gerne </w:t>
      </w:r>
      <w:r w:rsidR="00E07075">
        <w:t xml:space="preserve">være med </w:t>
      </w:r>
      <w:r>
        <w:t xml:space="preserve">til at udvikle en </w:t>
      </w:r>
      <w:r w:rsidR="00E11742">
        <w:t xml:space="preserve">mere hensigtsmæssig </w:t>
      </w:r>
      <w:r w:rsidR="00E11742">
        <w:lastRenderedPageBreak/>
        <w:t>tilskudsstruktur</w:t>
      </w:r>
      <w:r>
        <w:t xml:space="preserve">, der </w:t>
      </w:r>
      <w:r w:rsidR="00750E2F">
        <w:t xml:space="preserve">samtidigt </w:t>
      </w:r>
      <w:r>
        <w:t xml:space="preserve">kan </w:t>
      </w:r>
      <w:r w:rsidR="00E11742">
        <w:t>sikre nogle fornuftige rammer for at højskolerne fortsat kan inkludere mennesk</w:t>
      </w:r>
      <w:r>
        <w:t>er med handicap.</w:t>
      </w:r>
      <w:r w:rsidR="00E07075">
        <w:t xml:space="preserve"> </w:t>
      </w:r>
    </w:p>
    <w:p w14:paraId="6CC9869A" w14:textId="667BA050" w:rsidR="00BA2F8A" w:rsidRDefault="00BA2F8A" w:rsidP="00E11742">
      <w:pPr>
        <w:rPr>
          <w:szCs w:val="26"/>
        </w:rPr>
      </w:pPr>
    </w:p>
    <w:p w14:paraId="71675746" w14:textId="77777777" w:rsidR="00C66259" w:rsidRDefault="00C66259"/>
    <w:p w14:paraId="7B90581B" w14:textId="2C742C12" w:rsidR="00E11742" w:rsidRDefault="00E11742">
      <w:r>
        <w:t>Venlig hilsen</w:t>
      </w:r>
    </w:p>
    <w:p w14:paraId="1F964437" w14:textId="6951F1BD" w:rsidR="00E11742" w:rsidRDefault="00E11742"/>
    <w:p w14:paraId="07B3DB25" w14:textId="4F629486" w:rsidR="00E11742" w:rsidRDefault="00E11742">
      <w:bookmarkStart w:id="4" w:name="_GoBack"/>
      <w:bookmarkEnd w:id="4"/>
    </w:p>
    <w:p w14:paraId="4730A770" w14:textId="47C75B7A" w:rsidR="00E11742" w:rsidRDefault="00E11742">
      <w:r>
        <w:t>Thorkild Olesen</w:t>
      </w:r>
    </w:p>
    <w:sectPr w:rsidR="00E11742" w:rsidSect="00FF6FD2">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242" w:header="568" w:footer="851" w:gutter="0"/>
      <w:paperSrc w:first="15" w:other="15"/>
      <w:cols w:space="708"/>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FE2EA" w14:textId="77777777" w:rsidR="00F65E58" w:rsidRDefault="00F65E58">
      <w:r>
        <w:separator/>
      </w:r>
    </w:p>
  </w:endnote>
  <w:endnote w:type="continuationSeparator" w:id="0">
    <w:p w14:paraId="5CFCBAFC" w14:textId="77777777" w:rsidR="00F65E58" w:rsidRDefault="00F6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B1A59" w14:textId="77777777" w:rsidR="00F076A9" w:rsidRDefault="00EE0D1C"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1A6B1A5A" w14:textId="77777777" w:rsidR="00F076A9" w:rsidRDefault="00F076A9">
    <w:pPr>
      <w:pStyle w:val="Sidefo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B1A5B" w14:textId="02BF5F18" w:rsidR="00F076A9" w:rsidRDefault="00EE0D1C"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separate"/>
    </w:r>
    <w:r w:rsidR="00317251">
      <w:rPr>
        <w:rStyle w:val="Sidetal"/>
        <w:rFonts w:eastAsiaTheme="majorEastAsia"/>
        <w:noProof/>
      </w:rPr>
      <w:t>4</w:t>
    </w:r>
    <w:r>
      <w:rPr>
        <w:rStyle w:val="Sidetal"/>
        <w:rFonts w:eastAsiaTheme="majorEastAsia"/>
      </w:rPr>
      <w:fldChar w:fldCharType="end"/>
    </w:r>
  </w:p>
  <w:p w14:paraId="1A6B1A5C" w14:textId="77777777" w:rsidR="00F076A9" w:rsidRDefault="00F076A9">
    <w:pPr>
      <w:pStyle w:val="Sidefod"/>
      <w:framePr w:wrap="around" w:vAnchor="text" w:hAnchor="margin" w:xAlign="right" w:y="1"/>
      <w:rPr>
        <w:rStyle w:val="Sidetal"/>
        <w:rFonts w:eastAsiaTheme="majorEastAsia"/>
      </w:rPr>
    </w:pPr>
  </w:p>
  <w:p w14:paraId="1A6B1A5D" w14:textId="77777777" w:rsidR="00F076A9" w:rsidRDefault="00F076A9">
    <w:pPr>
      <w:pStyle w:val="Sidefod"/>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B1A5F" w14:textId="77777777" w:rsidR="00FF6FD2" w:rsidRDefault="00FF6FD2">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C3F65" w14:textId="77777777" w:rsidR="00F65E58" w:rsidRDefault="00F65E58">
      <w:r>
        <w:separator/>
      </w:r>
    </w:p>
  </w:footnote>
  <w:footnote w:type="continuationSeparator" w:id="0">
    <w:p w14:paraId="0E51D8BE" w14:textId="77777777" w:rsidR="00F65E58" w:rsidRDefault="00F65E58">
      <w:r>
        <w:continuationSeparator/>
      </w:r>
    </w:p>
  </w:footnote>
  <w:footnote w:id="1">
    <w:p w14:paraId="07B08D4D" w14:textId="16882B43" w:rsidR="00172C0D" w:rsidRDefault="00172C0D">
      <w:pPr>
        <w:pStyle w:val="Fodnotetekst"/>
      </w:pPr>
      <w:r>
        <w:rPr>
          <w:rStyle w:val="Fodnotehenvisning"/>
        </w:rPr>
        <w:footnoteRef/>
      </w:r>
      <w:hyperlink r:id="rId1" w:history="1">
        <w:r w:rsidRPr="0043672F">
          <w:rPr>
            <w:rStyle w:val="Hyperlink"/>
          </w:rPr>
          <w:t>https://kum.dk/fileadmin/KUM/Documents/Nyheder%20og%20Presse/Nyheder/2018/Undersoegelse_af_tilskud_til_specialundervisning_og_elever_med_svaere_handicap_p%C3%A5_hoejskolerne.PDF</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B1A56" w14:textId="77777777" w:rsidR="00F076A9" w:rsidRDefault="00EE0D1C">
    <w:pPr>
      <w:pStyle w:val="Sidehoved"/>
      <w:framePr w:wrap="around" w:vAnchor="text" w:hAnchor="margin" w:xAlign="right"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1A6B1A57" w14:textId="77777777" w:rsidR="00F076A9" w:rsidRDefault="00F076A9">
    <w:pPr>
      <w:pStyle w:val="Sidehoved"/>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B1A58" w14:textId="77777777" w:rsidR="00F076A9" w:rsidRDefault="00F076A9">
    <w:pPr>
      <w:pStyle w:val="Sidehoved"/>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B1A5E" w14:textId="77777777" w:rsidR="00F20012" w:rsidRDefault="00EE0D1C">
    <w:pPr>
      <w:pStyle w:val="Sidehoved"/>
    </w:pPr>
    <w:r>
      <w:rPr>
        <w:noProof/>
        <w:sz w:val="24"/>
        <w:szCs w:val="24"/>
      </w:rPr>
      <w:drawing>
        <wp:anchor distT="0" distB="0" distL="114300" distR="114300" simplePos="0" relativeHeight="251658240" behindDoc="0" locked="0" layoutInCell="1" allowOverlap="1" wp14:anchorId="1A6B1A60" wp14:editId="1A6B1A61">
          <wp:simplePos x="0" y="0"/>
          <wp:positionH relativeFrom="column">
            <wp:posOffset>4928870</wp:posOffset>
          </wp:positionH>
          <wp:positionV relativeFrom="paragraph">
            <wp:posOffset>-7620</wp:posOffset>
          </wp:positionV>
          <wp:extent cx="1461600" cy="658800"/>
          <wp:effectExtent l="0" t="0" r="5715" b="825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57913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1600" cy="6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84842"/>
    <w:multiLevelType w:val="hybridMultilevel"/>
    <w:tmpl w:val="C0D09750"/>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42F43A7A"/>
    <w:multiLevelType w:val="hybridMultilevel"/>
    <w:tmpl w:val="24FE87C6"/>
    <w:lvl w:ilvl="0" w:tplc="0D2EFC14">
      <w:numFmt w:val="bullet"/>
      <w:lvlText w:val="-"/>
      <w:lvlJc w:val="left"/>
      <w:pPr>
        <w:ind w:left="720" w:hanging="360"/>
      </w:pPr>
      <w:rPr>
        <w:rFonts w:ascii="Bookman Old Style" w:eastAsiaTheme="minorHAnsi" w:hAnsi="Bookman Old Style"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E4E3CBE"/>
    <w:multiLevelType w:val="hybridMultilevel"/>
    <w:tmpl w:val="09184010"/>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6F876FB4"/>
    <w:multiLevelType w:val="hybridMultilevel"/>
    <w:tmpl w:val="17742DD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84E2A01"/>
    <w:multiLevelType w:val="hybridMultilevel"/>
    <w:tmpl w:val="3C84FF5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9B7"/>
    <w:rsid w:val="001219B7"/>
    <w:rsid w:val="00172C0D"/>
    <w:rsid w:val="001851A3"/>
    <w:rsid w:val="00224498"/>
    <w:rsid w:val="002B4690"/>
    <w:rsid w:val="002E6939"/>
    <w:rsid w:val="003028A6"/>
    <w:rsid w:val="00317251"/>
    <w:rsid w:val="003B2186"/>
    <w:rsid w:val="004F44E6"/>
    <w:rsid w:val="00541209"/>
    <w:rsid w:val="005708BB"/>
    <w:rsid w:val="005815F3"/>
    <w:rsid w:val="005F2B8E"/>
    <w:rsid w:val="00602F29"/>
    <w:rsid w:val="00664648"/>
    <w:rsid w:val="006E06F1"/>
    <w:rsid w:val="00750E2F"/>
    <w:rsid w:val="008225B7"/>
    <w:rsid w:val="00837245"/>
    <w:rsid w:val="0086356F"/>
    <w:rsid w:val="008733D7"/>
    <w:rsid w:val="008F7286"/>
    <w:rsid w:val="0090614E"/>
    <w:rsid w:val="00910B09"/>
    <w:rsid w:val="0091390D"/>
    <w:rsid w:val="0098390E"/>
    <w:rsid w:val="009C7975"/>
    <w:rsid w:val="00A77354"/>
    <w:rsid w:val="00BA2F8A"/>
    <w:rsid w:val="00BC551E"/>
    <w:rsid w:val="00BC6FFA"/>
    <w:rsid w:val="00C66259"/>
    <w:rsid w:val="00CE7183"/>
    <w:rsid w:val="00D44186"/>
    <w:rsid w:val="00DC39F3"/>
    <w:rsid w:val="00E07075"/>
    <w:rsid w:val="00E11742"/>
    <w:rsid w:val="00E3101D"/>
    <w:rsid w:val="00E31D37"/>
    <w:rsid w:val="00EE0D1C"/>
    <w:rsid w:val="00EF7983"/>
    <w:rsid w:val="00F076A9"/>
    <w:rsid w:val="00F20012"/>
    <w:rsid w:val="00F65E58"/>
    <w:rsid w:val="00F87D29"/>
    <w:rsid w:val="00FF6F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B1A4E"/>
  <w15:docId w15:val="{256CB52C-B11E-47A2-9D52-EC3C970F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semiHidden/>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semiHidden/>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paragraph" w:styleId="Listeafsnit">
    <w:name w:val="List Paragraph"/>
    <w:basedOn w:val="Normal"/>
    <w:uiPriority w:val="34"/>
    <w:qFormat/>
    <w:rsid w:val="00E11742"/>
    <w:pPr>
      <w:overflowPunct/>
      <w:autoSpaceDE/>
      <w:autoSpaceDN/>
      <w:adjustRightInd/>
      <w:ind w:left="720"/>
      <w:contextualSpacing/>
      <w:jc w:val="left"/>
      <w:textAlignment w:val="auto"/>
    </w:pPr>
    <w:rPr>
      <w:rFonts w:asciiTheme="minorHAnsi" w:eastAsiaTheme="minorHAnsi" w:hAnsiTheme="minorHAnsi" w:cstheme="minorBidi"/>
      <w:sz w:val="24"/>
      <w:szCs w:val="24"/>
      <w:lang w:eastAsia="en-US"/>
    </w:rPr>
  </w:style>
  <w:style w:type="paragraph" w:styleId="Fodnotetekst">
    <w:name w:val="footnote text"/>
    <w:basedOn w:val="Normal"/>
    <w:link w:val="FodnotetekstTegn"/>
    <w:uiPriority w:val="99"/>
    <w:semiHidden/>
    <w:unhideWhenUsed/>
    <w:rsid w:val="00172C0D"/>
    <w:rPr>
      <w:sz w:val="20"/>
    </w:rPr>
  </w:style>
  <w:style w:type="character" w:customStyle="1" w:styleId="FodnotetekstTegn">
    <w:name w:val="Fodnotetekst Tegn"/>
    <w:basedOn w:val="Standardskrifttypeiafsnit"/>
    <w:link w:val="Fodnotetekst"/>
    <w:uiPriority w:val="99"/>
    <w:semiHidden/>
    <w:rsid w:val="00172C0D"/>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172C0D"/>
    <w:rPr>
      <w:vertAlign w:val="superscript"/>
    </w:rPr>
  </w:style>
  <w:style w:type="character" w:styleId="Hyperlink">
    <w:name w:val="Hyperlink"/>
    <w:basedOn w:val="Standardskrifttypeiafsnit"/>
    <w:uiPriority w:val="99"/>
    <w:unhideWhenUsed/>
    <w:rsid w:val="00172C0D"/>
    <w:rPr>
      <w:color w:val="0000FF" w:themeColor="hyperlink"/>
      <w:u w:val="single"/>
    </w:rPr>
  </w:style>
  <w:style w:type="paragraph" w:customStyle="1" w:styleId="Default">
    <w:name w:val="Default"/>
    <w:rsid w:val="00750E2F"/>
    <w:pPr>
      <w:autoSpaceDE w:val="0"/>
      <w:autoSpaceDN w:val="0"/>
      <w:adjustRightInd w:val="0"/>
      <w:spacing w:after="0" w:line="240" w:lineRule="auto"/>
    </w:pPr>
    <w:rPr>
      <w:rFonts w:ascii="Century Schoolbook" w:hAnsi="Century Schoolbook" w:cs="Century School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44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tm@kum.d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kum.dk/fileadmin/KUM/Documents/Nyheder%20og%20Presse/Nyheder/2018/Undersoegelse_af_tilskud_til_specialundervisning_og_elever_med_svaere_handicap_p%C3%A5_hoejskolerne.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dh-teamshare\Templates\nota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BA8F2DEFF0C14F974B61F5D122B131" ma:contentTypeVersion="0" ma:contentTypeDescription="Create a new document." ma:contentTypeScope="" ma:versionID="2b08a0f5a8039f99daeb250002e004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23D09-4B70-4588-A852-31A48FD6A1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798E7E-3361-4A72-A656-7D6CC4392577}">
  <ds:schemaRefs>
    <ds:schemaRef ds:uri="http://schemas.microsoft.com/sharepoint/v3/contenttype/forms"/>
  </ds:schemaRefs>
</ds:datastoreItem>
</file>

<file path=customXml/itemProps3.xml><?xml version="1.0" encoding="utf-8"?>
<ds:datastoreItem xmlns:ds="http://schemas.openxmlformats.org/officeDocument/2006/customXml" ds:itemID="{7EAC5EA5-B2A1-4F73-82C0-6E87BB1CA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11995C3-9D62-4468-BF0A-721980C97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Template>
  <TotalTime>1</TotalTime>
  <Pages>4</Pages>
  <Words>1168</Words>
  <Characters>7128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 - DH</dc:creator>
  <cp:lastModifiedBy>Karen Il Wol Knudsen</cp:lastModifiedBy>
  <cp:revision>3</cp:revision>
  <dcterms:created xsi:type="dcterms:W3CDTF">2018-08-20T11:22:00Z</dcterms:created>
  <dcterms:modified xsi:type="dcterms:W3CDTF">2018-08-20T11:22:00Z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0x0101009CBA8F2DEFF0C14F974B61F5D122B131</vt:lpwstr>
  </property>
  <property fmtid="{D5CDD505-2E9C-101B-9397-08002B2CF9AE}" pid="3" name="TeamShareLastOpen">
    <vt:lpwstr>20-08-2018 13:19:10</vt:lpwstr>
  </property>
</Properties>
</file>