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E0" w:rsidRPr="002979E0" w:rsidRDefault="002979E0" w:rsidP="002979E0">
      <w:pPr>
        <w:rPr>
          <w:b/>
          <w:bCs/>
          <w:sz w:val="28"/>
          <w:szCs w:val="28"/>
        </w:rPr>
      </w:pPr>
      <w:r w:rsidRPr="002979E0">
        <w:rPr>
          <w:b/>
          <w:bCs/>
          <w:sz w:val="28"/>
          <w:szCs w:val="28"/>
        </w:rPr>
        <w:t xml:space="preserve">Esbjerg Kommunes Handicappolitik </w:t>
      </w:r>
    </w:p>
    <w:p w:rsidR="002979E0" w:rsidRDefault="002979E0" w:rsidP="002979E0">
      <w:pPr>
        <w:rPr>
          <w:b/>
          <w:bCs/>
        </w:rPr>
      </w:pPr>
    </w:p>
    <w:p w:rsidR="002979E0" w:rsidRDefault="002979E0" w:rsidP="002979E0">
      <w:pPr>
        <w:rPr>
          <w:b/>
          <w:bCs/>
        </w:rPr>
      </w:pPr>
    </w:p>
    <w:p w:rsidR="002979E0" w:rsidRPr="002979E0" w:rsidRDefault="002979E0" w:rsidP="002979E0">
      <w:pPr>
        <w:rPr>
          <w:b/>
          <w:bCs/>
          <w:sz w:val="28"/>
          <w:szCs w:val="28"/>
        </w:rPr>
      </w:pPr>
      <w:r w:rsidRPr="002979E0">
        <w:rPr>
          <w:b/>
          <w:bCs/>
          <w:sz w:val="28"/>
          <w:szCs w:val="28"/>
        </w:rPr>
        <w:t>Specifikke kommentarer til Esbjerg Kommunes Handicappolitik</w:t>
      </w:r>
    </w:p>
    <w:p w:rsidR="002979E0" w:rsidRPr="002979E0" w:rsidRDefault="002979E0" w:rsidP="002979E0">
      <w:pPr>
        <w:rPr>
          <w:sz w:val="24"/>
          <w:szCs w:val="24"/>
        </w:rPr>
      </w:pPr>
      <w:r w:rsidRPr="002979E0">
        <w:rPr>
          <w:sz w:val="24"/>
          <w:szCs w:val="24"/>
        </w:rPr>
        <w:t>Kommunen lægger vægt på, at politikken er borgernes, politikernes og forvaltningernes. Heri kan der ligge en positiv, fælles og handlingsorienteret tilgang.</w:t>
      </w:r>
    </w:p>
    <w:p w:rsidR="002979E0" w:rsidRPr="002979E0" w:rsidRDefault="002979E0" w:rsidP="002979E0">
      <w:pPr>
        <w:rPr>
          <w:sz w:val="24"/>
          <w:szCs w:val="24"/>
        </w:rPr>
      </w:pPr>
    </w:p>
    <w:p w:rsidR="002979E0" w:rsidRPr="002979E0" w:rsidRDefault="002979E0" w:rsidP="002979E0">
      <w:pPr>
        <w:rPr>
          <w:sz w:val="24"/>
          <w:szCs w:val="24"/>
        </w:rPr>
      </w:pPr>
      <w:r w:rsidRPr="002979E0">
        <w:rPr>
          <w:sz w:val="24"/>
          <w:szCs w:val="24"/>
        </w:rPr>
        <w:t>Politikken nævner Handicapkonventionen. Det er kommunens opfattelse, at efterhånden som Konventionen implementeres i lovgivningen vil den stille nye krav til kommunens indsats. Der er tale om en meget begrænset tilgang til Handicapkonventionen. Kommunen er allerede forpligtet til at læse lovgivningen og tilrettelægge indsatser i henhold til en forståelse af og ønske om at opfylde Handicapkonventionen. Kommunens tilgang er ikke mindst problematisk, fordi der ikke er den store tradition for at indarbejde internationale konventioner i dansk lov.</w:t>
      </w:r>
    </w:p>
    <w:p w:rsidR="002979E0" w:rsidRPr="002979E0" w:rsidRDefault="002979E0" w:rsidP="002979E0">
      <w:pPr>
        <w:rPr>
          <w:sz w:val="24"/>
          <w:szCs w:val="24"/>
        </w:rPr>
      </w:pPr>
    </w:p>
    <w:p w:rsidR="002979E0" w:rsidRPr="002979E0" w:rsidRDefault="002979E0" w:rsidP="002979E0">
      <w:pPr>
        <w:rPr>
          <w:sz w:val="24"/>
          <w:szCs w:val="24"/>
        </w:rPr>
      </w:pPr>
      <w:r w:rsidRPr="002979E0">
        <w:rPr>
          <w:sz w:val="24"/>
          <w:szCs w:val="24"/>
        </w:rPr>
        <w:t>Kommunen har vision og værdier for sin handicappolitik, der handler om at inkludere personer med handicap, at være tilgængelig, at se den enkelte borgers ressourcer og om deltagelse. Politikken nævner også FN’s Standardregler og de fire principper i dansk handicappolitik: kompensation, sektoransvarlighed, solidaritet og ligebehandling, som grundlag for sin politik. Det er positivt, men Handicapkonventionen burde spille en større og mere aktiv rolle som den stærkeste forpligtelse.</w:t>
      </w:r>
    </w:p>
    <w:p w:rsidR="002979E0" w:rsidRPr="002979E0" w:rsidRDefault="002979E0" w:rsidP="002979E0">
      <w:pPr>
        <w:rPr>
          <w:sz w:val="24"/>
          <w:szCs w:val="24"/>
        </w:rPr>
      </w:pPr>
    </w:p>
    <w:p w:rsidR="002979E0" w:rsidRPr="002979E0" w:rsidRDefault="002979E0" w:rsidP="002979E0">
      <w:pPr>
        <w:rPr>
          <w:sz w:val="24"/>
          <w:szCs w:val="24"/>
        </w:rPr>
      </w:pPr>
      <w:r w:rsidRPr="002979E0">
        <w:rPr>
          <w:sz w:val="24"/>
          <w:szCs w:val="24"/>
        </w:rPr>
        <w:t>Kommunens forståelse af handicapbegrebet hviler på Handicapkonventionen, og hele vejen igennem henvises der til og citeres der fra Handicapkonventionen. Kommunen kunne således uden de store forbehold godt fjerne sit forbehold omkring anvendeligheden af Handicapkonventionen i den kommunale indsats.</w:t>
      </w:r>
    </w:p>
    <w:p w:rsidR="002979E0" w:rsidRPr="002979E0" w:rsidRDefault="002979E0" w:rsidP="002979E0">
      <w:pPr>
        <w:rPr>
          <w:sz w:val="24"/>
          <w:szCs w:val="24"/>
        </w:rPr>
      </w:pPr>
    </w:p>
    <w:p w:rsidR="002979E0" w:rsidRPr="002979E0" w:rsidRDefault="002979E0" w:rsidP="002979E0">
      <w:pPr>
        <w:rPr>
          <w:sz w:val="24"/>
          <w:szCs w:val="24"/>
        </w:rPr>
      </w:pPr>
      <w:r w:rsidRPr="002979E0">
        <w:rPr>
          <w:sz w:val="24"/>
          <w:szCs w:val="24"/>
        </w:rPr>
        <w:t xml:space="preserve">Kommunen har valgt at fokusere på 7 temaer i handicappolitikken: Sammenhængende indsats, kommunikation, tilgængelighed, uddannelse, arbejdsliv, bolig, fritids- og foreningsliv. Der er tale om 7 væsentlige livsaspekter, som alle er centrale for kommunens ansvarsområde. Dog er det interessant, at kommunen tilsyneladende ikke er opmærksom på sine forpligtelser til at arbejde for at understøtte borgernes sundhed. </w:t>
      </w:r>
    </w:p>
    <w:p w:rsidR="002979E0" w:rsidRPr="002979E0" w:rsidRDefault="002979E0" w:rsidP="002979E0">
      <w:pPr>
        <w:rPr>
          <w:sz w:val="24"/>
          <w:szCs w:val="24"/>
        </w:rPr>
      </w:pPr>
    </w:p>
    <w:p w:rsidR="002979E0" w:rsidRPr="002979E0" w:rsidRDefault="002979E0" w:rsidP="002979E0">
      <w:pPr>
        <w:spacing w:after="240"/>
        <w:rPr>
          <w:sz w:val="24"/>
          <w:szCs w:val="24"/>
        </w:rPr>
      </w:pPr>
      <w:r w:rsidRPr="002979E0">
        <w:rPr>
          <w:sz w:val="24"/>
          <w:szCs w:val="24"/>
          <w:lang w:eastAsia="da-DK"/>
        </w:rPr>
        <w:t>Kommunen nævner Handicaprådets rolle, ikke mindst at alle udvalg og forvaltninger forudsættes at have en løbende dialog med Handicaprådet.</w:t>
      </w:r>
    </w:p>
    <w:p w:rsidR="002979E0" w:rsidRPr="00AF4CF4" w:rsidRDefault="000B0B7C" w:rsidP="00AF4CF4">
      <w:pPr>
        <w:autoSpaceDE w:val="0"/>
        <w:autoSpaceDN w:val="0"/>
        <w:adjustRightInd w:val="0"/>
        <w:rPr>
          <w:rFonts w:asciiTheme="minorHAnsi" w:hAnsiTheme="minorHAnsi"/>
          <w:sz w:val="24"/>
          <w:szCs w:val="24"/>
          <w:lang w:eastAsia="da-DK"/>
        </w:rPr>
      </w:pPr>
      <w:r w:rsidRPr="00AF4CF4">
        <w:rPr>
          <w:sz w:val="24"/>
          <w:szCs w:val="24"/>
          <w:lang w:eastAsia="da-DK"/>
        </w:rPr>
        <w:t xml:space="preserve">Kommunen har formuleret nogle overordnede handicapstrategiske pejlemærker, der mere langsigtet peger på, hvad kommunen vil opnå. Her er kommunens vision for handicapområdet formuleret således: </w:t>
      </w:r>
      <w:r w:rsidRPr="00AF4CF4">
        <w:rPr>
          <w:rFonts w:asciiTheme="minorHAnsi" w:hAnsiTheme="minorHAnsi"/>
          <w:sz w:val="24"/>
          <w:szCs w:val="24"/>
          <w:lang w:eastAsia="da-DK"/>
        </w:rPr>
        <w:t>”</w:t>
      </w:r>
      <w:r w:rsidRPr="00AF4CF4">
        <w:rPr>
          <w:rFonts w:asciiTheme="minorHAnsi" w:hAnsiTheme="minorHAnsi" w:cs="Frutiger-Light"/>
          <w:sz w:val="24"/>
          <w:szCs w:val="24"/>
        </w:rPr>
        <w:t xml:space="preserve">Esbjerg Kommune er et tilgængeligt og inkluderende levested, hvor borgere med handicap har mulighed for at deltage i samfundslivet på lige fod med andre.” En sådan formulering er overordentlig positiv. Den giver gode muligheder for at holde diskussionerne og de konkrete forslag, der behandles i Handicaprådet og generelt i kommunen op mod en langsigtet </w:t>
      </w:r>
      <w:bookmarkStart w:id="0" w:name="_GoBack"/>
      <w:bookmarkEnd w:id="0"/>
      <w:r w:rsidRPr="00AF4CF4">
        <w:rPr>
          <w:rFonts w:asciiTheme="minorHAnsi" w:hAnsiTheme="minorHAnsi" w:cs="Frutiger-Light"/>
          <w:sz w:val="24"/>
          <w:szCs w:val="24"/>
        </w:rPr>
        <w:t>vision til etablering af lige muligheder for personer med handicap i Esbjerg kommune.</w:t>
      </w:r>
    </w:p>
    <w:sectPr w:rsidR="002979E0" w:rsidRPr="00AF4C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E0"/>
    <w:rsid w:val="000B0B7C"/>
    <w:rsid w:val="002979E0"/>
    <w:rsid w:val="007545C2"/>
    <w:rsid w:val="00AF4CF4"/>
    <w:rsid w:val="00DE1FF1"/>
    <w:rsid w:val="00E760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E0"/>
    <w:pPr>
      <w:spacing w:after="0" w:line="240" w:lineRule="auto"/>
    </w:pPr>
    <w:rPr>
      <w:rFonts w:ascii="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297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33187">
      <w:bodyDiv w:val="1"/>
      <w:marLeft w:val="0"/>
      <w:marRight w:val="0"/>
      <w:marTop w:val="0"/>
      <w:marBottom w:val="0"/>
      <w:divBdr>
        <w:top w:val="none" w:sz="0" w:space="0" w:color="auto"/>
        <w:left w:val="none" w:sz="0" w:space="0" w:color="auto"/>
        <w:bottom w:val="none" w:sz="0" w:space="0" w:color="auto"/>
        <w:right w:val="none" w:sz="0" w:space="0" w:color="auto"/>
      </w:divBdr>
    </w:div>
    <w:div w:id="97591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2387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Gunnarsen</dc:creator>
  <cp:lastModifiedBy>Charlotte Gunnarsen</cp:lastModifiedBy>
  <cp:revision>2</cp:revision>
  <dcterms:created xsi:type="dcterms:W3CDTF">2016-12-06T09:10:00Z</dcterms:created>
  <dcterms:modified xsi:type="dcterms:W3CDTF">2016-12-06T09:10:00Z</dcterms:modified>
</cp:coreProperties>
</file>